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2A" w:rsidRDefault="007E1ADD" w:rsidP="00AC6AF1">
      <w:pPr>
        <w:pStyle w:val="StyleLinespacingDouble"/>
        <w:spacing w:line="240" w:lineRule="auto"/>
        <w:jc w:val="center"/>
        <w:rPr>
          <w:b/>
          <w:bCs/>
          <w:smallCaps/>
        </w:rPr>
      </w:pPr>
      <w:bookmarkStart w:id="0" w:name="_GoBack"/>
      <w:bookmarkEnd w:id="0"/>
      <w:r>
        <w:rPr>
          <w:b/>
          <w:bCs/>
          <w:smallCaps/>
        </w:rPr>
        <w:t>Closing the Strategy-Tactics Gap</w:t>
      </w:r>
      <w:r w:rsidR="001D563E">
        <w:rPr>
          <w:b/>
          <w:bCs/>
          <w:smallCaps/>
        </w:rPr>
        <w:t xml:space="preserve"> in Pharmaceutical Marketing</w:t>
      </w:r>
      <w:r>
        <w:rPr>
          <w:b/>
          <w:bCs/>
          <w:smallCaps/>
        </w:rPr>
        <w:t xml:space="preserve">: </w:t>
      </w:r>
      <w:r w:rsidR="003B070B">
        <w:rPr>
          <w:b/>
          <w:bCs/>
          <w:smallCaps/>
        </w:rPr>
        <w:t xml:space="preserve">Institutional Theory Analysis and Open Systems Framework </w:t>
      </w:r>
      <w:r w:rsidR="00D9300B">
        <w:rPr>
          <w:b/>
          <w:bCs/>
          <w:smallCaps/>
        </w:rPr>
        <w:t>for New Directions</w:t>
      </w:r>
    </w:p>
    <w:p w:rsidR="00560F68" w:rsidRDefault="00560F68" w:rsidP="00545D2A">
      <w:pPr>
        <w:pStyle w:val="StyleLinespacingDouble"/>
        <w:spacing w:after="120" w:line="240" w:lineRule="auto"/>
        <w:ind w:firstLine="0"/>
        <w:jc w:val="center"/>
        <w:rPr>
          <w:b/>
          <w:bCs/>
          <w:smallCaps/>
        </w:rPr>
      </w:pPr>
    </w:p>
    <w:p w:rsidR="00560F68" w:rsidRDefault="00560F68" w:rsidP="00560F68">
      <w:pPr>
        <w:pStyle w:val="Default"/>
        <w:jc w:val="center"/>
        <w:rPr>
          <w:b/>
          <w:bCs/>
          <w:smallCaps/>
        </w:rPr>
      </w:pPr>
    </w:p>
    <w:p w:rsidR="00560F68" w:rsidRDefault="00560F68" w:rsidP="00560F68">
      <w:pPr>
        <w:pStyle w:val="Default"/>
        <w:jc w:val="center"/>
        <w:rPr>
          <w:rFonts w:ascii="Times New Roman" w:hAnsi="Times New Roman" w:cs="Times New Roman"/>
        </w:rPr>
      </w:pPr>
    </w:p>
    <w:p w:rsidR="00560F68" w:rsidRDefault="00560F68" w:rsidP="00560F68">
      <w:pPr>
        <w:pStyle w:val="Default"/>
        <w:jc w:val="center"/>
        <w:rPr>
          <w:rFonts w:ascii="Times New Roman" w:hAnsi="Times New Roman" w:cs="Times New Roman"/>
        </w:rPr>
      </w:pPr>
    </w:p>
    <w:p w:rsidR="00560F68" w:rsidRDefault="00560F68" w:rsidP="00560F68">
      <w:pPr>
        <w:pStyle w:val="Default"/>
        <w:jc w:val="center"/>
        <w:rPr>
          <w:rFonts w:ascii="Times New Roman" w:hAnsi="Times New Roman" w:cs="Times New Roman"/>
        </w:rPr>
      </w:pPr>
    </w:p>
    <w:p w:rsidR="00560F68" w:rsidRDefault="00560F68" w:rsidP="00560F68">
      <w:pPr>
        <w:pStyle w:val="Default"/>
        <w:jc w:val="center"/>
        <w:rPr>
          <w:rFonts w:ascii="Times New Roman" w:hAnsi="Times New Roman" w:cs="Times New Roman"/>
        </w:rPr>
      </w:pPr>
    </w:p>
    <w:p w:rsidR="00560F68" w:rsidRDefault="00560F68" w:rsidP="00560F68">
      <w:pPr>
        <w:pStyle w:val="Default"/>
        <w:jc w:val="center"/>
        <w:rPr>
          <w:rFonts w:ascii="Times New Roman" w:hAnsi="Times New Roman" w:cs="Times New Roman"/>
        </w:rPr>
      </w:pPr>
    </w:p>
    <w:p w:rsidR="00560F68" w:rsidRDefault="00560F68" w:rsidP="0022291A">
      <w:pPr>
        <w:pStyle w:val="Default"/>
        <w:jc w:val="center"/>
        <w:outlineLvl w:val="0"/>
        <w:rPr>
          <w:rFonts w:ascii="Times New Roman" w:hAnsi="Times New Roman" w:cs="Times New Roman"/>
        </w:rPr>
      </w:pPr>
      <w:r>
        <w:rPr>
          <w:rFonts w:ascii="Times New Roman" w:hAnsi="Times New Roman" w:cs="Times New Roman"/>
        </w:rPr>
        <w:t>JAGDIP SINGH and RAMA K. JAYANTI</w:t>
      </w:r>
    </w:p>
    <w:p w:rsidR="00560F68" w:rsidRDefault="00560F68" w:rsidP="00560F68">
      <w:pPr>
        <w:jc w:val="center"/>
        <w:rPr>
          <w:rStyle w:val="BookTitle"/>
        </w:rPr>
      </w:pPr>
    </w:p>
    <w:p w:rsidR="00560F68" w:rsidRDefault="00560F68" w:rsidP="00560F68">
      <w:pPr>
        <w:pStyle w:val="StyleLinespacingDouble"/>
        <w:tabs>
          <w:tab w:val="left" w:pos="8448"/>
        </w:tabs>
        <w:spacing w:after="120" w:line="240" w:lineRule="auto"/>
        <w:ind w:firstLine="0"/>
      </w:pPr>
    </w:p>
    <w:p w:rsidR="00560F68" w:rsidRDefault="00560F68" w:rsidP="00560F68">
      <w:pPr>
        <w:rPr>
          <w:rStyle w:val="BookTitle"/>
        </w:rPr>
      </w:pPr>
    </w:p>
    <w:p w:rsidR="00560F68" w:rsidRDefault="00560F68" w:rsidP="00560F68">
      <w:pPr>
        <w:rPr>
          <w:rStyle w:val="BookTitle"/>
        </w:rPr>
      </w:pPr>
    </w:p>
    <w:p w:rsidR="00560F68" w:rsidRDefault="00560F68" w:rsidP="00560F68">
      <w:pPr>
        <w:rPr>
          <w:rStyle w:val="BookTitle"/>
        </w:rPr>
      </w:pPr>
    </w:p>
    <w:p w:rsidR="00560F68" w:rsidRDefault="00560F68" w:rsidP="00560F68">
      <w:pPr>
        <w:rPr>
          <w:rStyle w:val="BookTitle"/>
        </w:rPr>
      </w:pPr>
    </w:p>
    <w:p w:rsidR="00560F68" w:rsidRDefault="00560F68" w:rsidP="00560F68">
      <w:pPr>
        <w:rPr>
          <w:rStyle w:val="BookTitle"/>
        </w:rPr>
      </w:pPr>
    </w:p>
    <w:p w:rsidR="00560F68" w:rsidRDefault="00560F68" w:rsidP="00560F68">
      <w:pPr>
        <w:rPr>
          <w:rStyle w:val="BookTitle"/>
        </w:rPr>
      </w:pPr>
    </w:p>
    <w:p w:rsidR="00560F68" w:rsidRDefault="00560F68" w:rsidP="00560F68">
      <w:pPr>
        <w:rPr>
          <w:rStyle w:val="BookTitle"/>
        </w:rPr>
      </w:pPr>
    </w:p>
    <w:p w:rsidR="00560F68" w:rsidRDefault="00560F68" w:rsidP="00560F68">
      <w:r w:rsidRPr="00514E76">
        <w:t>Jagdip Singh is H. Clark Ford Professor of Marketing at Case Western Reserve University, Weatherhead School of Management, Cleveland, OH 44106, (</w:t>
      </w:r>
      <w:hyperlink r:id="rId9" w:history="1">
        <w:r w:rsidRPr="00BC5DD8">
          <w:rPr>
            <w:rStyle w:val="Hyperlink"/>
          </w:rPr>
          <w:t>jagdip.singh@case.edu</w:t>
        </w:r>
      </w:hyperlink>
      <w:r w:rsidRPr="00514E76">
        <w:t>)</w:t>
      </w:r>
      <w:r>
        <w:t xml:space="preserve">. </w:t>
      </w:r>
    </w:p>
    <w:p w:rsidR="00560F68" w:rsidRDefault="00560F68" w:rsidP="00560F68">
      <w:pPr>
        <w:rPr>
          <w:rStyle w:val="BookTitle"/>
        </w:rPr>
      </w:pPr>
      <w:r w:rsidRPr="00514E76">
        <w:t>Rama K. Jayanti is Professor of Marketing, Cleveland State University, Cleveland, OH 44114 (</w:t>
      </w:r>
      <w:hyperlink r:id="rId10" w:history="1">
        <w:r w:rsidRPr="00BC5DD8">
          <w:rPr>
            <w:rStyle w:val="Hyperlink"/>
          </w:rPr>
          <w:t>r.jayanti@csuohio.edu</w:t>
        </w:r>
      </w:hyperlink>
      <w:r w:rsidRPr="00514E76">
        <w:t>).</w:t>
      </w:r>
      <w:r>
        <w:t xml:space="preserve">  </w:t>
      </w:r>
    </w:p>
    <w:p w:rsidR="00560F68" w:rsidRDefault="00560F68" w:rsidP="00560F68">
      <w:pPr>
        <w:rPr>
          <w:rStyle w:val="BookTitle"/>
        </w:rPr>
      </w:pPr>
      <w:r>
        <w:rPr>
          <w:rStyle w:val="BookTitle"/>
        </w:rPr>
        <w:br w:type="page"/>
      </w:r>
    </w:p>
    <w:p w:rsidR="00D54E26" w:rsidRDefault="00D54E26" w:rsidP="00D54E26">
      <w:pPr>
        <w:pStyle w:val="StyleLinespacingDouble"/>
        <w:spacing w:line="240" w:lineRule="auto"/>
        <w:jc w:val="center"/>
        <w:rPr>
          <w:b/>
          <w:bCs/>
          <w:smallCaps/>
        </w:rPr>
      </w:pPr>
      <w:r>
        <w:rPr>
          <w:b/>
          <w:bCs/>
          <w:smallCaps/>
        </w:rPr>
        <w:lastRenderedPageBreak/>
        <w:t>Closing the Strategy-Tactics Gap: An Institutional Theory Analysis of Pharmaceutical Marketing and its Value Chain Consequences</w:t>
      </w:r>
    </w:p>
    <w:p w:rsidR="00F74B2F" w:rsidRDefault="00F74B2F" w:rsidP="00B651BB">
      <w:pPr>
        <w:pStyle w:val="StyleLinespacingDouble"/>
        <w:spacing w:after="120" w:line="240" w:lineRule="auto"/>
        <w:ind w:firstLine="0"/>
        <w:jc w:val="center"/>
        <w:rPr>
          <w:b/>
          <w:bCs/>
          <w:smallCaps/>
        </w:rPr>
      </w:pPr>
    </w:p>
    <w:p w:rsidR="00F74B2F" w:rsidRDefault="00F74B2F" w:rsidP="0022291A">
      <w:pPr>
        <w:pStyle w:val="StyleLinespacingDouble"/>
        <w:spacing w:after="120" w:line="240" w:lineRule="auto"/>
        <w:ind w:firstLine="0"/>
        <w:jc w:val="center"/>
        <w:outlineLvl w:val="0"/>
      </w:pPr>
      <w:r w:rsidRPr="00B11170">
        <w:t>Abstract</w:t>
      </w:r>
    </w:p>
    <w:p w:rsidR="00523500" w:rsidRDefault="006C0E63">
      <w:r>
        <w:t>T</w:t>
      </w:r>
      <w:r w:rsidR="00EB3A78">
        <w:t xml:space="preserve">his </w:t>
      </w:r>
      <w:r w:rsidR="00945FE7">
        <w:t>chapter</w:t>
      </w:r>
      <w:r w:rsidR="00EB3A78">
        <w:t xml:space="preserve"> </w:t>
      </w:r>
      <w:r w:rsidR="00227C8D">
        <w:t>identifies</w:t>
      </w:r>
      <w:r w:rsidR="00CF6B1D">
        <w:t xml:space="preserve"> a strategy-tactics gap in most previous studies of </w:t>
      </w:r>
      <w:r w:rsidR="007E1ADD">
        <w:t>pharmaceutical marketing</w:t>
      </w:r>
      <w:r w:rsidR="00CF6B1D">
        <w:t xml:space="preserve">, </w:t>
      </w:r>
      <w:r w:rsidR="00227C8D">
        <w:t xml:space="preserve">and addresses it by </w:t>
      </w:r>
      <w:r w:rsidR="004E44F4">
        <w:t>systematically analyz</w:t>
      </w:r>
      <w:r w:rsidR="00227C8D">
        <w:t>ing</w:t>
      </w:r>
      <w:r w:rsidR="004E44F4">
        <w:t xml:space="preserve"> the marketing strategies used in practice </w:t>
      </w:r>
      <w:r w:rsidR="00656F8F">
        <w:t xml:space="preserve">with the help of </w:t>
      </w:r>
      <w:r w:rsidR="004E44F4">
        <w:t>a unique data</w:t>
      </w:r>
      <w:r w:rsidR="00656F8F">
        <w:t xml:space="preserve">set of </w:t>
      </w:r>
      <w:r w:rsidR="004E44F4">
        <w:t xml:space="preserve">court discovery documents unsealed in a recent litigation.  </w:t>
      </w:r>
      <w:r w:rsidR="002B0B7A">
        <w:t xml:space="preserve">Adopting an institutional theory perspective, </w:t>
      </w:r>
      <w:r w:rsidR="00656F8F">
        <w:t>we</w:t>
      </w:r>
      <w:r w:rsidR="00227C8D">
        <w:t xml:space="preserve"> </w:t>
      </w:r>
      <w:r w:rsidR="002B0B7A">
        <w:t xml:space="preserve">examine the dominant logic </w:t>
      </w:r>
      <w:r w:rsidR="004566C8">
        <w:t>that underlies</w:t>
      </w:r>
      <w:r w:rsidR="002B0B7A">
        <w:t xml:space="preserve"> phar</w:t>
      </w:r>
      <w:r w:rsidR="004566C8">
        <w:t xml:space="preserve">maceutical marketing strategies, and contrast it with the organizing logics of </w:t>
      </w:r>
      <w:r w:rsidR="00656F8F">
        <w:t xml:space="preserve">the </w:t>
      </w:r>
      <w:r w:rsidR="004566C8">
        <w:t xml:space="preserve"> value chain partners.  </w:t>
      </w:r>
      <w:r w:rsidR="00F27E11">
        <w:t xml:space="preserve">Four distinct </w:t>
      </w:r>
      <w:r w:rsidR="007D1AFE">
        <w:t xml:space="preserve">marketing </w:t>
      </w:r>
      <w:r w:rsidR="00F27E11">
        <w:t xml:space="preserve">strategies </w:t>
      </w:r>
      <w:r w:rsidR="007D1AFE">
        <w:t xml:space="preserve">with carefully crafted interdependencies </w:t>
      </w:r>
      <w:r w:rsidR="00F27E11">
        <w:t xml:space="preserve">emerge from our analysis:  </w:t>
      </w:r>
      <w:r w:rsidR="002B0B7A">
        <w:t>(1) market penetration strategy involving a focus on segmentation and penetration, (2) evidence based strategy involving production of science, (3) medical education strategy involving develop</w:t>
      </w:r>
      <w:r w:rsidR="00656F8F">
        <w:t xml:space="preserve">ment </w:t>
      </w:r>
      <w:r w:rsidR="002B0B7A">
        <w:t xml:space="preserve"> and disseminati</w:t>
      </w:r>
      <w:r w:rsidR="00656F8F">
        <w:t>on</w:t>
      </w:r>
      <w:r w:rsidR="00805B06">
        <w:t xml:space="preserve"> of</w:t>
      </w:r>
      <w:r w:rsidR="002B0B7A">
        <w:t xml:space="preserve"> standards of care, and (4) surrogate selling strategy </w:t>
      </w:r>
      <w:r w:rsidR="00805B06">
        <w:t xml:space="preserve">involving leverage of </w:t>
      </w:r>
      <w:r w:rsidR="002B0B7A">
        <w:t xml:space="preserve">peer-to-peer influence </w:t>
      </w:r>
      <w:r w:rsidR="002B0B7A" w:rsidRPr="00C45318">
        <w:rPr>
          <w:iCs/>
        </w:rPr>
        <w:t>among target physicians</w:t>
      </w:r>
      <w:r w:rsidR="004566C8">
        <w:rPr>
          <w:iCs/>
        </w:rPr>
        <w:t xml:space="preserve">. </w:t>
      </w:r>
      <w:r w:rsidR="002B0B7A">
        <w:rPr>
          <w:iCs/>
        </w:rPr>
        <w:t xml:space="preserve"> </w:t>
      </w:r>
      <w:r w:rsidR="007D1AFE">
        <w:rPr>
          <w:iCs/>
        </w:rPr>
        <w:t xml:space="preserve">Together, </w:t>
      </w:r>
      <w:r w:rsidR="002E1642">
        <w:t xml:space="preserve">the </w:t>
      </w:r>
      <w:r w:rsidR="00534EF3">
        <w:t>s</w:t>
      </w:r>
      <w:r w:rsidR="007D1AFE">
        <w:t xml:space="preserve">trategies </w:t>
      </w:r>
      <w:r w:rsidR="00534EF3">
        <w:t xml:space="preserve">uncovered in our analysis provide coherence to the observed marketing tactics and show that they are largely </w:t>
      </w:r>
      <w:r w:rsidR="007D1AFE">
        <w:t>consistent with the logic of consequences</w:t>
      </w:r>
      <w:r w:rsidR="00534EF3">
        <w:t xml:space="preserve"> w</w:t>
      </w:r>
      <w:r w:rsidR="007D1AFE">
        <w:t>hich conflict</w:t>
      </w:r>
      <w:r w:rsidR="00534EF3">
        <w:t>s</w:t>
      </w:r>
      <w:r w:rsidR="007D1AFE">
        <w:t xml:space="preserve"> with the logic of appropriateness </w:t>
      </w:r>
      <w:r w:rsidR="00534EF3">
        <w:t>guid</w:t>
      </w:r>
      <w:r w:rsidR="009A05C6">
        <w:t>ing</w:t>
      </w:r>
      <w:r w:rsidR="00534EF3">
        <w:t xml:space="preserve"> the actions of </w:t>
      </w:r>
      <w:r w:rsidR="00805B06">
        <w:t xml:space="preserve">the </w:t>
      </w:r>
      <w:r w:rsidR="002E1642">
        <w:t xml:space="preserve">value chain </w:t>
      </w:r>
      <w:r w:rsidR="00534EF3">
        <w:t xml:space="preserve">partners.  </w:t>
      </w:r>
      <w:r w:rsidR="00D965F2">
        <w:t xml:space="preserve">Going beyond the strategy-tactics gap, the institutional theory analysis of the pharmaceutical value chain shows that: </w:t>
      </w:r>
      <w:r w:rsidR="002E1642">
        <w:t xml:space="preserve">(1) </w:t>
      </w:r>
      <w:r w:rsidR="00ED5385">
        <w:t xml:space="preserve">conflicted logics of the value chain </w:t>
      </w:r>
      <w:r w:rsidR="00805B06">
        <w:t>scarcely</w:t>
      </w:r>
      <w:r w:rsidR="00ED5385">
        <w:t xml:space="preserve"> remain dormant, </w:t>
      </w:r>
      <w:r w:rsidR="002E1642">
        <w:t xml:space="preserve">(2) </w:t>
      </w:r>
      <w:r w:rsidR="00ED5385">
        <w:t xml:space="preserve">but are </w:t>
      </w:r>
      <w:r w:rsidR="002E1642">
        <w:t xml:space="preserve">amplified by pharmaceutical marketing strategies </w:t>
      </w:r>
      <w:r w:rsidR="00ED5385">
        <w:t>that</w:t>
      </w:r>
      <w:r w:rsidR="00254AA9">
        <w:t>,</w:t>
      </w:r>
      <w:r w:rsidR="00ED5385">
        <w:t xml:space="preserve"> in turn</w:t>
      </w:r>
      <w:r w:rsidR="00254AA9">
        <w:t>,</w:t>
      </w:r>
      <w:r w:rsidR="00ED5385">
        <w:t xml:space="preserve"> (</w:t>
      </w:r>
      <w:r w:rsidR="002E1642">
        <w:t xml:space="preserve">3) invite regulatory intervention </w:t>
      </w:r>
      <w:r w:rsidR="00ED5385">
        <w:t xml:space="preserve">to </w:t>
      </w:r>
      <w:r w:rsidR="002E1642">
        <w:t xml:space="preserve">constrain and restrict pharmaceutical marketing efforts. </w:t>
      </w:r>
      <w:r w:rsidR="007E1ADD">
        <w:t xml:space="preserve"> </w:t>
      </w:r>
      <w:r w:rsidR="005C2EEE">
        <w:t xml:space="preserve">We propose </w:t>
      </w:r>
      <w:r w:rsidR="002401F5">
        <w:t>an open system</w:t>
      </w:r>
      <w:r w:rsidR="0064074A">
        <w:t>s</w:t>
      </w:r>
      <w:r w:rsidR="002401F5">
        <w:t xml:space="preserve"> </w:t>
      </w:r>
      <w:r w:rsidR="005C2EEE">
        <w:t xml:space="preserve">framework </w:t>
      </w:r>
      <w:r w:rsidR="002401F5">
        <w:t xml:space="preserve">that elaborates on value chain interdependencies and </w:t>
      </w:r>
      <w:r w:rsidR="005C2EEE">
        <w:t xml:space="preserve">compare </w:t>
      </w:r>
      <w:r w:rsidR="002401F5">
        <w:t xml:space="preserve">it </w:t>
      </w:r>
      <w:r w:rsidR="005C2EEE">
        <w:t>with the economic framework that characterizes most current research</w:t>
      </w:r>
      <w:r w:rsidR="002401F5">
        <w:t xml:space="preserve">. We close the chapter with an agenda for future research into the theory and practice of pharmaceutical marketing. </w:t>
      </w:r>
      <w:r w:rsidR="000C4841">
        <w:t xml:space="preserve"> </w:t>
      </w:r>
    </w:p>
    <w:p w:rsidR="00D55CA7" w:rsidRDefault="00D55CA7">
      <w:pPr>
        <w:sectPr w:rsidR="00D55CA7" w:rsidSect="00B256AA">
          <w:headerReference w:type="default" r:id="rId11"/>
          <w:footerReference w:type="default" r:id="rId12"/>
          <w:footerReference w:type="first" r:id="rId13"/>
          <w:pgSz w:w="11909" w:h="16834" w:code="9"/>
          <w:pgMar w:top="1296" w:right="1296" w:bottom="1296" w:left="1296" w:header="720" w:footer="720" w:gutter="0"/>
          <w:pgNumType w:start="1"/>
          <w:cols w:space="720"/>
          <w:titlePg/>
          <w:docGrid w:linePitch="360"/>
        </w:sectPr>
      </w:pPr>
    </w:p>
    <w:p w:rsidR="00252755" w:rsidRDefault="00A72A48">
      <w:pPr>
        <w:autoSpaceDE w:val="0"/>
        <w:autoSpaceDN w:val="0"/>
        <w:adjustRightInd w:val="0"/>
        <w:spacing w:line="480" w:lineRule="auto"/>
        <w:ind w:firstLine="720"/>
      </w:pPr>
      <w:r>
        <w:lastRenderedPageBreak/>
        <w:t>S</w:t>
      </w:r>
      <w:r w:rsidR="000B4B5C">
        <w:t xml:space="preserve">cholarly research in </w:t>
      </w:r>
      <w:r w:rsidR="00496982">
        <w:t xml:space="preserve">pharmaceutical </w:t>
      </w:r>
      <w:r w:rsidR="000B4B5C" w:rsidRPr="00CB3A0A">
        <w:t xml:space="preserve">marketing </w:t>
      </w:r>
      <w:r w:rsidR="000B4B5C">
        <w:t xml:space="preserve">has </w:t>
      </w:r>
      <w:r w:rsidR="00955E22">
        <w:t>disproportionately</w:t>
      </w:r>
      <w:r w:rsidR="00955E22" w:rsidRPr="00A94314">
        <w:t xml:space="preserve"> focused</w:t>
      </w:r>
      <w:r w:rsidR="000B4B5C" w:rsidRPr="00A94314">
        <w:t xml:space="preserve"> on the </w:t>
      </w:r>
      <w:r w:rsidR="007910EE" w:rsidRPr="007910EE">
        <w:rPr>
          <w:i/>
        </w:rPr>
        <w:t>tactical</w:t>
      </w:r>
      <w:r w:rsidR="000B4B5C" w:rsidRPr="00A94314">
        <w:t xml:space="preserve"> issues of optimizing the ROI of pharmaceutical promotion spend</w:t>
      </w:r>
      <w:r w:rsidR="000B4B5C">
        <w:rPr>
          <w:rStyle w:val="FootnoteReference"/>
        </w:rPr>
        <w:footnoteReference w:id="1"/>
      </w:r>
      <w:r w:rsidR="000B4B5C" w:rsidRPr="00A94314">
        <w:t xml:space="preserve">, </w:t>
      </w:r>
      <w:r w:rsidR="000B4B5C">
        <w:t xml:space="preserve">paying scarce attention to the marketing </w:t>
      </w:r>
      <w:r w:rsidR="007910EE" w:rsidRPr="007910EE">
        <w:rPr>
          <w:i/>
        </w:rPr>
        <w:t>strategies</w:t>
      </w:r>
      <w:r w:rsidR="000B4B5C">
        <w:t xml:space="preserve"> that underlie these tactics.</w:t>
      </w:r>
      <w:r w:rsidR="00D54E26" w:rsidRPr="00D54E26">
        <w:t xml:space="preserve"> </w:t>
      </w:r>
      <w:r w:rsidR="00246DF3">
        <w:t xml:space="preserve">In an integrative review of the literature, Manchanda and Chintagunta (2004, p.143) </w:t>
      </w:r>
      <w:r w:rsidR="00246DF3" w:rsidRPr="0064086B">
        <w:t>articulate market</w:t>
      </w:r>
      <w:r w:rsidR="00805B06" w:rsidRPr="0064086B">
        <w:t>ing</w:t>
      </w:r>
      <w:r w:rsidR="00246DF3" w:rsidRPr="0064086B">
        <w:t xml:space="preserve"> literature’s emphasis well by observing that much research aims to identify “</w:t>
      </w:r>
      <w:r w:rsidR="00246DF3" w:rsidRPr="0064086B">
        <w:rPr>
          <w:kern w:val="0"/>
        </w:rPr>
        <w:t>ways in which these [pharmaceutical] firms can increase the amount of prescriptions (i.e., increase revenues) or reduce the number of salesperson calls (i.e., lower costs) via a more efficient allocation of [promotion] effort.”</w:t>
      </w:r>
      <w:r w:rsidR="00EB3A86" w:rsidRPr="0064086B">
        <w:t xml:space="preserve"> </w:t>
      </w:r>
      <w:r w:rsidR="00246DF3" w:rsidRPr="0064086B">
        <w:t xml:space="preserve"> </w:t>
      </w:r>
      <w:r w:rsidR="00026214">
        <w:t>E</w:t>
      </w:r>
      <w:r w:rsidR="00246DF3" w:rsidRPr="0064086B">
        <w:t>nhancing the effectiveness and efficiency of pharmaceutical promotion tactics is the dominant theme in a diverse and rich body of marketing literature</w:t>
      </w:r>
      <w:r w:rsidR="00D54E26" w:rsidRPr="0064086B">
        <w:t xml:space="preserve"> (Venkataraman and Stremersch</w:t>
      </w:r>
      <w:r w:rsidR="00D54E26">
        <w:t xml:space="preserve"> 2007; Manchanda and Chintagunta 2004; Narayanan, Desiraju, and Chintagunta 2004; Mizik and Jacobson 2004; Oliver and Van Horn 2004; Wittink 2002; Gonul, Carter, Petrova, and Srinivasan 2001).  By contrast, studies of the </w:t>
      </w:r>
      <w:r w:rsidR="00D54E26" w:rsidRPr="00A94314">
        <w:t>nature and scope of pharmaceutical marketing strategies</w:t>
      </w:r>
      <w:r w:rsidR="00D54E26">
        <w:t xml:space="preserve"> are negligible.  Strategy is a firm’s organizing scheme for competitive advantage and provides coherence to a firm’s diverse tactical choices.  Moreover, strategy operationalizes the dominant logic of the firm’s management for achieving its goals and objectives by blueprinting the underlying logic that gives meaning to organizational action (why are we doing this?  why are we doing this way, and not some other way?) (Prahalad and Bettis 1986; Porac</w:t>
      </w:r>
      <w:r w:rsidR="00523500">
        <w:t>, Thomas, and Baden-Fuller</w:t>
      </w:r>
      <w:r w:rsidR="00D54E26">
        <w:t xml:space="preserve"> 1989).  </w:t>
      </w:r>
      <w:r w:rsidR="000B27CC">
        <w:t xml:space="preserve">In the integrative review cited above, </w:t>
      </w:r>
      <w:r w:rsidR="00D54E26">
        <w:t xml:space="preserve">mention, much less consideration, of strategy is remarkably absent while the diverse perspectives and findings related to detailing tactics and practices are thoroughly reviewed (Manchanda and Honka 2004).  Without consideration of strategy, a tactical focus is as myopic as studying action without cognition, and analyzing </w:t>
      </w:r>
      <w:r w:rsidR="00D54E26" w:rsidRPr="00A94314">
        <w:rPr>
          <w:i/>
        </w:rPr>
        <w:t>what</w:t>
      </w:r>
      <w:r w:rsidR="00D54E26">
        <w:t xml:space="preserve"> and </w:t>
      </w:r>
      <w:r w:rsidR="00D54E26" w:rsidRPr="00A94314">
        <w:rPr>
          <w:i/>
        </w:rPr>
        <w:t>how</w:t>
      </w:r>
      <w:r w:rsidR="00D54E26">
        <w:t xml:space="preserve"> without understanding </w:t>
      </w:r>
      <w:r w:rsidR="00D54E26" w:rsidRPr="00A94314">
        <w:rPr>
          <w:i/>
        </w:rPr>
        <w:t>why</w:t>
      </w:r>
      <w:r w:rsidR="00D54E26">
        <w:t xml:space="preserve">.  </w:t>
      </w:r>
    </w:p>
    <w:p w:rsidR="00955E22" w:rsidRDefault="00955E22">
      <w:pPr>
        <w:autoSpaceDE w:val="0"/>
        <w:autoSpaceDN w:val="0"/>
        <w:adjustRightInd w:val="0"/>
        <w:spacing w:line="480" w:lineRule="auto"/>
        <w:ind w:firstLine="720"/>
      </w:pPr>
      <w:r>
        <w:lastRenderedPageBreak/>
        <w:t>Curiously, inattention to pharmaceutical marketing strategy and the resultant strategy-tactics gap has persisted despite a growing drumbeat of s</w:t>
      </w:r>
      <w:r w:rsidRPr="00A94314">
        <w:t>urprisingly vigorous, and often unflattering, analysis of pharmaceutical marketing strategies</w:t>
      </w:r>
      <w:r w:rsidRPr="006B0321">
        <w:t xml:space="preserve"> </w:t>
      </w:r>
      <w:r>
        <w:t xml:space="preserve">among medical practitioners and public alike </w:t>
      </w:r>
      <w:r w:rsidR="00485DA8">
        <w:t>(DeAngelis 2006; Angell 2004</w:t>
      </w:r>
      <w:r w:rsidR="00AF0526">
        <w:t xml:space="preserve">; </w:t>
      </w:r>
      <w:r w:rsidR="00485DA8">
        <w:t xml:space="preserve">Brennan </w:t>
      </w:r>
      <w:r w:rsidR="00A00A00">
        <w:t>and</w:t>
      </w:r>
      <w:r w:rsidR="00485DA8">
        <w:t xml:space="preserve"> Mello 2007</w:t>
      </w:r>
      <w:r w:rsidR="00AF0526">
        <w:t xml:space="preserve">; </w:t>
      </w:r>
      <w:r w:rsidR="00485DA8">
        <w:t xml:space="preserve">Heuvel 2007). </w:t>
      </w:r>
      <w:r w:rsidR="00721D45">
        <w:t xml:space="preserve">For instance, medical scholars </w:t>
      </w:r>
      <w:r w:rsidR="0051323C">
        <w:t>express uneasiness at the</w:t>
      </w:r>
      <w:r w:rsidR="000B27CC">
        <w:t xml:space="preserve"> </w:t>
      </w:r>
      <w:r w:rsidR="00496982" w:rsidRPr="00496982">
        <w:t>“[</w:t>
      </w:r>
      <w:r w:rsidR="00721D45">
        <w:t>p</w:t>
      </w:r>
      <w:r w:rsidR="00A305D5">
        <w:t>harmaceutical industry</w:t>
      </w:r>
      <w:r w:rsidR="000B27CC">
        <w:t>’s</w:t>
      </w:r>
      <w:r w:rsidR="00A305D5">
        <w:t xml:space="preserve">] </w:t>
      </w:r>
      <w:r w:rsidR="000B27CC">
        <w:t>so</w:t>
      </w:r>
      <w:r w:rsidR="00A305D5">
        <w:t xml:space="preserve">phisticated and wide-reaching marketing </w:t>
      </w:r>
      <w:r w:rsidR="00BE112C" w:rsidRPr="00BE112C">
        <w:rPr>
          <w:i/>
        </w:rPr>
        <w:t>strategies</w:t>
      </w:r>
      <w:r w:rsidR="00A305D5">
        <w:t>,” (Moncreif, Hopker, and Thomas 2005</w:t>
      </w:r>
      <w:r w:rsidR="00003CCA">
        <w:t>, p.84</w:t>
      </w:r>
      <w:r w:rsidR="00A305D5">
        <w:t>)</w:t>
      </w:r>
      <w:r w:rsidR="000B27CC">
        <w:t xml:space="preserve">, and their ire appears focused on the </w:t>
      </w:r>
      <w:r w:rsidR="000B27CC">
        <w:rPr>
          <w:kern w:val="0"/>
        </w:rPr>
        <w:t>“</w:t>
      </w:r>
      <w:r w:rsidR="00A305D5">
        <w:rPr>
          <w:kern w:val="0"/>
        </w:rPr>
        <w:t xml:space="preserve">marketing </w:t>
      </w:r>
      <w:r w:rsidR="00BE112C" w:rsidRPr="00BE112C">
        <w:rPr>
          <w:i/>
          <w:kern w:val="0"/>
        </w:rPr>
        <w:t>strategies</w:t>
      </w:r>
      <w:r w:rsidR="00721D45">
        <w:rPr>
          <w:kern w:val="0"/>
        </w:rPr>
        <w:t xml:space="preserve"> </w:t>
      </w:r>
      <w:r w:rsidR="00A305D5">
        <w:rPr>
          <w:kern w:val="0"/>
        </w:rPr>
        <w:t>masquerading as evidence</w:t>
      </w:r>
      <w:r w:rsidR="00721D45">
        <w:rPr>
          <w:kern w:val="0"/>
        </w:rPr>
        <w:t xml:space="preserve"> </w:t>
      </w:r>
      <w:r w:rsidR="00A305D5">
        <w:rPr>
          <w:kern w:val="0"/>
        </w:rPr>
        <w:t>based medicine</w:t>
      </w:r>
      <w:r w:rsidR="00721D45">
        <w:rPr>
          <w:kern w:val="0"/>
        </w:rPr>
        <w:t>,”</w:t>
      </w:r>
      <w:r w:rsidR="004A6550" w:rsidRPr="00496982">
        <w:rPr>
          <w:kern w:val="0"/>
        </w:rPr>
        <w:t xml:space="preserve"> (</w:t>
      </w:r>
      <w:r w:rsidR="004A6550" w:rsidRPr="00496982">
        <w:t xml:space="preserve">Eichacker, Natanson, </w:t>
      </w:r>
      <w:r w:rsidR="00A305D5">
        <w:t>and Danner 2006</w:t>
      </w:r>
      <w:r w:rsidR="00003CCA">
        <w:t>, p.1642</w:t>
      </w:r>
      <w:r w:rsidR="00A305D5">
        <w:t xml:space="preserve">). </w:t>
      </w:r>
      <w:r w:rsidR="003D3A7E">
        <w:t xml:space="preserve">Concerned that </w:t>
      </w:r>
      <w:r w:rsidR="001910A7">
        <w:t>“</w:t>
      </w:r>
      <w:r w:rsidR="00496982" w:rsidRPr="00496982">
        <w:rPr>
          <w:kern w:val="0"/>
        </w:rPr>
        <w:t xml:space="preserve">physicians have been the central target of marketing </w:t>
      </w:r>
      <w:r w:rsidR="00BE112C" w:rsidRPr="00BE112C">
        <w:rPr>
          <w:i/>
          <w:kern w:val="0"/>
        </w:rPr>
        <w:t>strategies</w:t>
      </w:r>
      <w:r w:rsidR="001910A7">
        <w:rPr>
          <w:kern w:val="0"/>
        </w:rPr>
        <w:t>”</w:t>
      </w:r>
      <w:r w:rsidR="003D3A7E">
        <w:rPr>
          <w:kern w:val="0"/>
        </w:rPr>
        <w:t xml:space="preserve"> (</w:t>
      </w:r>
      <w:r w:rsidR="003D3A7E" w:rsidRPr="00496982">
        <w:t xml:space="preserve">Studdert, </w:t>
      </w:r>
      <w:r w:rsidR="003D3A7E">
        <w:t>M</w:t>
      </w:r>
      <w:r w:rsidR="003D3A7E" w:rsidRPr="00496982">
        <w:t>ello, and Brennan 2004</w:t>
      </w:r>
      <w:r w:rsidR="003D3A7E">
        <w:t xml:space="preserve">, p. 1891), several studies find this trend </w:t>
      </w:r>
      <w:r w:rsidR="001910A7">
        <w:t>“at best very troubling” (Steinbrook 2008, p. 1062) and propose a “firewall between marketing and science” (Antonuccio</w:t>
      </w:r>
      <w:r w:rsidR="00805B06">
        <w:t>,</w:t>
      </w:r>
      <w:r w:rsidR="001910A7">
        <w:t xml:space="preserve"> Da</w:t>
      </w:r>
      <w:r w:rsidR="00805B06">
        <w:t>n</w:t>
      </w:r>
      <w:r w:rsidR="001910A7">
        <w:t>ton</w:t>
      </w:r>
      <w:r w:rsidR="00805B06">
        <w:t>, and McClanahan</w:t>
      </w:r>
      <w:r w:rsidR="001910A7">
        <w:t xml:space="preserve"> 2003, p.1028).</w:t>
      </w:r>
      <w:r w:rsidR="00496982" w:rsidRPr="00496982">
        <w:rPr>
          <w:kern w:val="0"/>
        </w:rPr>
        <w:t xml:space="preserve"> </w:t>
      </w:r>
      <w:r w:rsidR="009C1A4A">
        <w:t xml:space="preserve">Several books by medical practitioners claiming to unveil industry strategies paint a dark picture of an industry focused on maximizing profits at any cost (Petersen 2008; Angell 2005; Murray 2010). Swayed by this publicity, the pharmaceutical industry has seen its public standing fall from a 50% (1998) to less than 12% (2010) favorable rating in a </w:t>
      </w:r>
      <w:r w:rsidR="009C1A4A" w:rsidRPr="006913D4">
        <w:rPr>
          <w:i/>
          <w:iCs/>
        </w:rPr>
        <w:t>Harris</w:t>
      </w:r>
      <w:r w:rsidR="009C1A4A">
        <w:t xml:space="preserve"> </w:t>
      </w:r>
      <w:r w:rsidR="009C1A4A" w:rsidRPr="00DA6A62">
        <w:rPr>
          <w:i/>
        </w:rPr>
        <w:t>survey of public trust</w:t>
      </w:r>
      <w:r w:rsidR="009C1A4A">
        <w:rPr>
          <w:rStyle w:val="FootnoteReference"/>
        </w:rPr>
        <w:footnoteReference w:id="2"/>
      </w:r>
      <w:r w:rsidR="009C1A4A">
        <w:t xml:space="preserve">, with 46% favoring more governmental regulation, and its index of drug stocks decline by 25% over the last 5 years (Collis and Smith 2007). Angelmar (2005, p. 1) summarizes this trend by noting that the pharmaceutical industry’s “business model has come undone.” </w:t>
      </w:r>
    </w:p>
    <w:p w:rsidR="009C1A4A" w:rsidRDefault="00C87BC0" w:rsidP="000B4B5C">
      <w:pPr>
        <w:autoSpaceDE w:val="0"/>
        <w:autoSpaceDN w:val="0"/>
        <w:adjustRightInd w:val="0"/>
        <w:spacing w:line="480" w:lineRule="auto"/>
        <w:ind w:firstLine="720"/>
      </w:pPr>
      <w:r>
        <w:t xml:space="preserve">Given such </w:t>
      </w:r>
      <w:r w:rsidR="00521325">
        <w:t xml:space="preserve">aversive </w:t>
      </w:r>
      <w:r>
        <w:t>value chain</w:t>
      </w:r>
      <w:r w:rsidR="00521325">
        <w:t xml:space="preserve"> response</w:t>
      </w:r>
      <w:r>
        <w:t xml:space="preserve">, the strategy-tactics gap in the </w:t>
      </w:r>
      <w:r w:rsidR="009C1A4A">
        <w:t xml:space="preserve">pharmaceutical marketing </w:t>
      </w:r>
      <w:r>
        <w:t>literature is i</w:t>
      </w:r>
      <w:r w:rsidR="009C1A4A">
        <w:t>nexplicable.</w:t>
      </w:r>
      <w:r w:rsidR="009C1A4A">
        <w:rPr>
          <w:rStyle w:val="FootnoteReference"/>
        </w:rPr>
        <w:footnoteReference w:id="3"/>
      </w:r>
      <w:r w:rsidR="009C1A4A">
        <w:t xml:space="preserve"> </w:t>
      </w:r>
      <w:r w:rsidR="00B54129">
        <w:t xml:space="preserve">Lacking systematic studies of pharmaceutical marketing strategies lends an impression of uncontested validity to the mostly hostile studies </w:t>
      </w:r>
      <w:r w:rsidR="00BD6C2A">
        <w:t>reported in the medical literature; if considered valid, the medical practitioners’ assessment of pharmaceutical marketing strategies undermines the legitimacy of the tactics employed</w:t>
      </w:r>
      <w:r w:rsidR="00D65E72">
        <w:t xml:space="preserve">.  </w:t>
      </w:r>
      <w:r w:rsidR="00270AFF">
        <w:t xml:space="preserve">Thus, </w:t>
      </w:r>
      <w:r w:rsidR="00270AFF">
        <w:lastRenderedPageBreak/>
        <w:t xml:space="preserve">the strategy-tactics gap warrants attention from researchers interested in pharmaceutical marketing.  In particular, </w:t>
      </w:r>
      <w:r w:rsidR="007C4518">
        <w:t xml:space="preserve">two </w:t>
      </w:r>
      <w:r w:rsidR="009C1A4A" w:rsidRPr="00A94314">
        <w:t>questions</w:t>
      </w:r>
      <w:r w:rsidR="00270AFF">
        <w:t xml:space="preserve"> are germane</w:t>
      </w:r>
      <w:r w:rsidR="00805B06">
        <w:t xml:space="preserve"> to our study</w:t>
      </w:r>
      <w:r w:rsidR="009C1A4A">
        <w:t>:</w:t>
      </w:r>
      <w:r w:rsidR="009C1A4A" w:rsidRPr="00A94314">
        <w:t xml:space="preserve"> </w:t>
      </w:r>
    </w:p>
    <w:p w:rsidR="009C1A4A" w:rsidRDefault="009C1A4A" w:rsidP="009C1A4A">
      <w:pPr>
        <w:pStyle w:val="ListParagraph"/>
        <w:numPr>
          <w:ilvl w:val="0"/>
          <w:numId w:val="17"/>
        </w:numPr>
      </w:pPr>
      <w:r>
        <w:t xml:space="preserve">What </w:t>
      </w:r>
      <w:r w:rsidR="00270AFF">
        <w:t xml:space="preserve">specific </w:t>
      </w:r>
      <w:r>
        <w:t xml:space="preserve">marketing </w:t>
      </w:r>
      <w:r w:rsidR="00270AFF">
        <w:t xml:space="preserve">strategies </w:t>
      </w:r>
      <w:r>
        <w:t xml:space="preserve">do pharmaceutical companies use to engage medical practitioners, and how do these </w:t>
      </w:r>
      <w:r w:rsidR="00270AFF">
        <w:t xml:space="preserve">strategies </w:t>
      </w:r>
      <w:r>
        <w:t xml:space="preserve">relate to </w:t>
      </w:r>
      <w:r w:rsidR="00270AFF">
        <w:t>particular tactics</w:t>
      </w:r>
      <w:r>
        <w:t>?</w:t>
      </w:r>
    </w:p>
    <w:p w:rsidR="009C1A4A" w:rsidRDefault="009C1A4A" w:rsidP="009C1A4A"/>
    <w:p w:rsidR="009C1A4A" w:rsidRDefault="009C1A4A" w:rsidP="009C1A4A">
      <w:pPr>
        <w:pStyle w:val="ListParagraph"/>
        <w:numPr>
          <w:ilvl w:val="0"/>
          <w:numId w:val="17"/>
        </w:numPr>
        <w:spacing w:after="240"/>
      </w:pPr>
      <w:r>
        <w:t xml:space="preserve">Under what conditions and why do pharmaceutical marketing strategies amplify (or diminish) </w:t>
      </w:r>
      <w:r w:rsidR="0051323C">
        <w:t xml:space="preserve">the </w:t>
      </w:r>
      <w:r>
        <w:t>aversive (approving) response</w:t>
      </w:r>
      <w:r w:rsidR="0051323C">
        <w:t xml:space="preserve"> from its value chain partners</w:t>
      </w:r>
      <w:r>
        <w:t>?</w:t>
      </w:r>
    </w:p>
    <w:p w:rsidR="009C1A4A" w:rsidRDefault="009C1A4A" w:rsidP="009C1A4A">
      <w:pPr>
        <w:spacing w:line="480" w:lineRule="auto"/>
      </w:pPr>
      <w:r w:rsidRPr="00A94314">
        <w:t xml:space="preserve">This chapter aims to address the preceding </w:t>
      </w:r>
      <w:r>
        <w:t xml:space="preserve">questions </w:t>
      </w:r>
      <w:r w:rsidRPr="00A94314">
        <w:t xml:space="preserve">by </w:t>
      </w:r>
      <w:r>
        <w:t>making three contributions.  F</w:t>
      </w:r>
      <w:r w:rsidRPr="00A94314">
        <w:t>irst</w:t>
      </w:r>
      <w:r>
        <w:t>, we aim to</w:t>
      </w:r>
      <w:r w:rsidRPr="00A94314">
        <w:t xml:space="preserve"> conduct a systematic analysis of a pharmaceutical company’s marketing strategies and relating them to specific tactics deployed to engage medical practitioners</w:t>
      </w:r>
      <w:r w:rsidRPr="009B2E38">
        <w:t xml:space="preserve">.  </w:t>
      </w:r>
      <w:r>
        <w:t>Our theoretical lens is institutional theory which is well suited for examining the organizing logics that underlie strategy, and in going beyond an organizational focus to understand its value chain implications (Oliver 1991; DiM</w:t>
      </w:r>
      <w:r w:rsidRPr="006B58A0">
        <w:t>aggio and Powell 1983; Scott 1987</w:t>
      </w:r>
      <w:r>
        <w:t xml:space="preserve">).  Our premise is that understanding value chain implications of organizational strategy requires an explicit consideration of legitimacy, not just profitability, outcomes.  No previous study has utilized institutional </w:t>
      </w:r>
      <w:r w:rsidR="00381D57">
        <w:t>theory</w:t>
      </w:r>
      <w:r>
        <w:t xml:space="preserve"> to examine pharmaceutical marketing strategies or to explore its value chain implications.</w:t>
      </w:r>
    </w:p>
    <w:p w:rsidR="009C1A4A" w:rsidRDefault="009C1A4A" w:rsidP="009C1A4A">
      <w:pPr>
        <w:autoSpaceDE w:val="0"/>
        <w:autoSpaceDN w:val="0"/>
        <w:adjustRightInd w:val="0"/>
        <w:spacing w:line="480" w:lineRule="auto"/>
        <w:ind w:firstLine="720"/>
      </w:pPr>
      <w:r>
        <w:t xml:space="preserve">Second, this chapter empirically examines the dynamics of value chain’s response to pharmaceutical marketing </w:t>
      </w:r>
      <w:r w:rsidRPr="009360C2">
        <w:t>strategies</w:t>
      </w:r>
      <w:r>
        <w:t xml:space="preserve"> using the concept of institutional logics</w:t>
      </w:r>
      <w:r w:rsidRPr="009360C2">
        <w:t>.  T</w:t>
      </w:r>
      <w:r w:rsidRPr="00A94314">
        <w:t>he institutional view conceives “logics” as socially constructed mental models that groups of individuals hold as shared cognitions of socialized routines for action</w:t>
      </w:r>
      <w:r w:rsidRPr="009360C2">
        <w:t xml:space="preserve"> that </w:t>
      </w:r>
      <w:r w:rsidRPr="00A94314">
        <w:t>are “essential” to facilitate communication, order interactions, and promote learning among market actors (Denzau and North 1994</w:t>
      </w:r>
      <w:r w:rsidR="007E1ADD">
        <w:t>, p.</w:t>
      </w:r>
      <w:r w:rsidRPr="00A94314">
        <w:t xml:space="preserve"> 4-5; March </w:t>
      </w:r>
      <w:r>
        <w:t>and</w:t>
      </w:r>
      <w:r w:rsidRPr="00A94314">
        <w:t xml:space="preserve"> Olsen 1998; Scott 2001).  </w:t>
      </w:r>
      <w:r>
        <w:t>In this sense, logics provide mental maps for constructing market action (</w:t>
      </w:r>
      <w:r w:rsidR="00381D57">
        <w:t xml:space="preserve">e.g., </w:t>
      </w:r>
      <w:r>
        <w:t>strategies) and interpreting it (</w:t>
      </w:r>
      <w:r w:rsidR="00381D57">
        <w:t xml:space="preserve">e.g., by </w:t>
      </w:r>
      <w:r>
        <w:t>physicians), as well as guide subsequent response (</w:t>
      </w:r>
      <w:r w:rsidR="00381D57">
        <w:t xml:space="preserve">e.g., </w:t>
      </w:r>
      <w:r>
        <w:t>physicians</w:t>
      </w:r>
      <w:r w:rsidR="00381D57">
        <w:t>’</w:t>
      </w:r>
      <w:r>
        <w:t xml:space="preserve"> response towards pharmaceutical marketing).   </w:t>
      </w:r>
      <w:r w:rsidRPr="009360C2">
        <w:t xml:space="preserve">In our conception, </w:t>
      </w:r>
      <w:r>
        <w:t xml:space="preserve">different market actors in the pharmaceutical value chain respond to disparate institutional logics and, when market action amplifies this disparity, conflict within the value chain increases.  Specifically, our conceptualization develops three interrelated ideas: (1) pharmaceutical marketing strategies are rooted largely in the </w:t>
      </w:r>
      <w:r w:rsidRPr="008E2829">
        <w:rPr>
          <w:i/>
          <w:iCs/>
        </w:rPr>
        <w:t>logics of</w:t>
      </w:r>
      <w:r>
        <w:rPr>
          <w:i/>
          <w:iCs/>
        </w:rPr>
        <w:t xml:space="preserve"> consequences</w:t>
      </w:r>
      <w:r>
        <w:t xml:space="preserve">, </w:t>
      </w:r>
      <w:r>
        <w:lastRenderedPageBreak/>
        <w:t>(2) physicians’ interactions with their patients are rooted largely in the</w:t>
      </w:r>
      <w:r w:rsidRPr="008E2829">
        <w:rPr>
          <w:i/>
          <w:iCs/>
        </w:rPr>
        <w:t xml:space="preserve"> logics of appropriateness</w:t>
      </w:r>
      <w:r>
        <w:t xml:space="preserve">, and (3) </w:t>
      </w:r>
      <w:r w:rsidR="007C4518">
        <w:t xml:space="preserve">a value chain </w:t>
      </w:r>
      <w:r w:rsidR="00381D57">
        <w:t xml:space="preserve">with </w:t>
      </w:r>
      <w:r w:rsidR="007C4518">
        <w:t xml:space="preserve">members </w:t>
      </w:r>
      <w:r>
        <w:t xml:space="preserve">rooted in </w:t>
      </w:r>
      <w:r w:rsidR="00176323">
        <w:t>disparate l</w:t>
      </w:r>
      <w:r>
        <w:t xml:space="preserve">ogics of consequences and appropriateness are inherently conflicted.  Building on this conceptualization, we examine the ebbs and flows of the conflicted logics </w:t>
      </w:r>
      <w:r w:rsidR="00381D57">
        <w:t>in</w:t>
      </w:r>
      <w:r>
        <w:t xml:space="preserve"> the pharmaceutical value chain.</w:t>
      </w:r>
    </w:p>
    <w:p w:rsidR="009C1A4A" w:rsidRDefault="009C1A4A" w:rsidP="009C1A4A">
      <w:pPr>
        <w:pStyle w:val="StyleLinespacingDouble"/>
      </w:pPr>
      <w:r>
        <w:t xml:space="preserve">Third, </w:t>
      </w:r>
      <w:r w:rsidR="00381D57">
        <w:t>using</w:t>
      </w:r>
      <w:r>
        <w:t xml:space="preserve"> </w:t>
      </w:r>
      <w:r w:rsidR="00381D57">
        <w:t xml:space="preserve">the </w:t>
      </w:r>
      <w:r>
        <w:t>empirical analyses as a foundation</w:t>
      </w:r>
      <w:r w:rsidR="00381D57">
        <w:t xml:space="preserve">, we </w:t>
      </w:r>
      <w:r>
        <w:t>outlin</w:t>
      </w:r>
      <w:r w:rsidR="00381D57">
        <w:t xml:space="preserve">e </w:t>
      </w:r>
      <w:r>
        <w:t xml:space="preserve">a conceptual framework </w:t>
      </w:r>
      <w:r w:rsidR="00C33CF6">
        <w:t xml:space="preserve">grounded in an open systems view </w:t>
      </w:r>
      <w:r>
        <w:t>for future research on pharmaceutical marketing strategies.  Our framework emphasizes an embedded analysis of pharmaceutical marketing, where studies of pharmaceutical marketing are incomplete and likely misleading without consideration of value chain dynamics.  Specifically, we weave our framework around three key assertions: (1) systems (e.</w:t>
      </w:r>
      <w:r w:rsidR="00C33CF6">
        <w:t>g.</w:t>
      </w:r>
      <w:r>
        <w:t xml:space="preserve">, value chains) with disparate logics are prone to entropy due to inherent conflicts in their dominant logics, (2) managerial action focused on internal logics </w:t>
      </w:r>
      <w:r w:rsidR="00C33CF6">
        <w:t xml:space="preserve">enhances value chain conflict and </w:t>
      </w:r>
      <w:r>
        <w:t>results in counterintuitive effects, and (3) a focus on organizational legitimacy can seed coordinated exchanges among value chain partners to potentially overcome system conflict.  We show that our theorizing can explain current trends that are particularly averse to pharmaceutical marketing despite increasing knowledge of its efficiency and effectiveness.  We close by outlining an agenda for future research on pharmaceutical marketing.</w:t>
      </w:r>
    </w:p>
    <w:p w:rsidR="009C1A4A" w:rsidRPr="00077DF7" w:rsidRDefault="009C1A4A" w:rsidP="009C1A4A">
      <w:pPr>
        <w:pStyle w:val="StyleLinespacingDouble"/>
        <w:ind w:firstLine="0"/>
        <w:jc w:val="center"/>
        <w:outlineLvl w:val="0"/>
        <w:rPr>
          <w:b/>
          <w:bCs/>
          <w:smallCaps/>
        </w:rPr>
      </w:pPr>
      <w:r w:rsidRPr="00077DF7">
        <w:rPr>
          <w:b/>
          <w:bCs/>
          <w:smallCaps/>
        </w:rPr>
        <w:t xml:space="preserve">An institutional Theory Analysis of Pharmaceutical Value Chain </w:t>
      </w:r>
    </w:p>
    <w:p w:rsidR="00176323" w:rsidRDefault="009C1A4A" w:rsidP="009C1A4A">
      <w:pPr>
        <w:pStyle w:val="StyleLinespacingDouble"/>
      </w:pPr>
      <w:r>
        <w:t xml:space="preserve">The institutional perspective provides an embedded view of </w:t>
      </w:r>
      <w:r w:rsidR="004D6169">
        <w:t xml:space="preserve">market </w:t>
      </w:r>
      <w:r>
        <w:t>exchange</w:t>
      </w:r>
      <w:r w:rsidR="004D6169">
        <w:t>s</w:t>
      </w:r>
      <w:r>
        <w:t xml:space="preserve"> where regulatory institutions, public and private firms, and consumers are linked through market </w:t>
      </w:r>
      <w:r w:rsidR="004D6169">
        <w:t xml:space="preserve">interactions </w:t>
      </w:r>
      <w:r>
        <w:t>(</w:t>
      </w:r>
      <w:r w:rsidRPr="006B58A0">
        <w:t>Oliver 1991; Dimaggio and Powell 1983; Scott 1987</w:t>
      </w:r>
      <w:r>
        <w:t>). G</w:t>
      </w:r>
      <w:r w:rsidRPr="007A3014">
        <w:t xml:space="preserve">enerally viewed as one of the leading perspectives for analysis of market action and evolution, </w:t>
      </w:r>
      <w:r>
        <w:t>i</w:t>
      </w:r>
      <w:r w:rsidRPr="005C4850">
        <w:t>nstitutional theory</w:t>
      </w:r>
      <w:r>
        <w:t xml:space="preserve"> gives privileged status to the notion of logics and the institutions that create, maintain and disrupt them </w:t>
      </w:r>
      <w:r w:rsidRPr="007A3014">
        <w:t xml:space="preserve">(Heugens </w:t>
      </w:r>
      <w:r>
        <w:t>and</w:t>
      </w:r>
      <w:r w:rsidRPr="007A3014">
        <w:t xml:space="preserve"> Lander 2009; Lawrence </w:t>
      </w:r>
      <w:r>
        <w:t>and</w:t>
      </w:r>
      <w:r w:rsidRPr="007A3014">
        <w:t xml:space="preserve"> Suddaby 2006</w:t>
      </w:r>
      <w:r>
        <w:t xml:space="preserve">; DiMaggio and Powell 1991; </w:t>
      </w:r>
      <w:r w:rsidRPr="000D40D9">
        <w:t xml:space="preserve">Grewal </w:t>
      </w:r>
      <w:r>
        <w:t>and</w:t>
      </w:r>
      <w:r w:rsidRPr="000D40D9">
        <w:t xml:space="preserve"> Dharwadkar 2002</w:t>
      </w:r>
      <w:r>
        <w:t xml:space="preserve">; </w:t>
      </w:r>
      <w:r w:rsidRPr="000D40D9">
        <w:t>M</w:t>
      </w:r>
      <w:r>
        <w:t xml:space="preserve">cFarland, Bloodgood, and Payan </w:t>
      </w:r>
      <w:r w:rsidRPr="000D40D9">
        <w:t>2008</w:t>
      </w:r>
      <w:r w:rsidRPr="007A3014">
        <w:t xml:space="preserve">). </w:t>
      </w:r>
      <w:r>
        <w:t xml:space="preserve">Neo-institutional scholars construe logics as </w:t>
      </w:r>
      <w:r w:rsidRPr="007A3014">
        <w:t xml:space="preserve">socially constructed mental models that </w:t>
      </w:r>
      <w:r>
        <w:t xml:space="preserve">market actors </w:t>
      </w:r>
      <w:r w:rsidRPr="007A3014">
        <w:t xml:space="preserve">hold as shared </w:t>
      </w:r>
      <w:r w:rsidRPr="007A3014">
        <w:lastRenderedPageBreak/>
        <w:t>cognitions f</w:t>
      </w:r>
      <w:r>
        <w:t>or socialized routines of</w:t>
      </w:r>
      <w:r w:rsidRPr="007A3014">
        <w:t xml:space="preserve"> action.</w:t>
      </w:r>
      <w:r>
        <w:t xml:space="preserve"> For instance, Scott (2001, p. 57) defines logics as collective “frames” and navigational guides for market decision making (Caronna 2004). </w:t>
      </w:r>
    </w:p>
    <w:p w:rsidR="00B4640A" w:rsidRDefault="00176323" w:rsidP="009C1A4A">
      <w:pPr>
        <w:pStyle w:val="StyleLinespacingDouble"/>
      </w:pPr>
      <w:r>
        <w:t>Co</w:t>
      </w:r>
      <w:r w:rsidR="009C1A4A">
        <w:t xml:space="preserve">llective frames for corporate decision making are conceptualized as a “dominant logic” in the strategy literature (Prahalad and Bettis 1986; Porac, Thomas, and </w:t>
      </w:r>
      <w:r w:rsidR="00D14DB9">
        <w:t>Baden-</w:t>
      </w:r>
      <w:r w:rsidR="009C1A4A">
        <w:t xml:space="preserve">Fuller 1989; Lampel and Shamsie 2000). </w:t>
      </w:r>
      <w:r>
        <w:t xml:space="preserve">Prahalad and Bettis (1986, p. 490) define dominant logic as “the way in which managers conceptualize the business and make critical resource allocation decisions.”  </w:t>
      </w:r>
      <w:r w:rsidR="004F3854">
        <w:t xml:space="preserve">From an institutional lens, </w:t>
      </w:r>
      <w:r>
        <w:t xml:space="preserve">dominant logic provides a </w:t>
      </w:r>
      <w:r w:rsidR="004F3854">
        <w:t xml:space="preserve">mental model of a common set of assumptions and beliefs about organizational purpose and goals that guide </w:t>
      </w:r>
      <w:r>
        <w:t xml:space="preserve">managerial decision making </w:t>
      </w:r>
      <w:r w:rsidR="004F3854">
        <w:t xml:space="preserve">and </w:t>
      </w:r>
      <w:r>
        <w:t xml:space="preserve">strategic </w:t>
      </w:r>
      <w:r w:rsidR="00301484">
        <w:t>choices</w:t>
      </w:r>
      <w:r>
        <w:t xml:space="preserve">. </w:t>
      </w:r>
      <w:r w:rsidR="009C1A4A">
        <w:t xml:space="preserve">Thus, pharmaceutical marketing strategies </w:t>
      </w:r>
      <w:r w:rsidR="00301484">
        <w:t xml:space="preserve">are </w:t>
      </w:r>
      <w:r w:rsidR="009C1A4A">
        <w:t xml:space="preserve">located at the intersection of strategy and institutional theory literatures </w:t>
      </w:r>
      <w:r w:rsidR="00301484">
        <w:t>w</w:t>
      </w:r>
      <w:r w:rsidR="009C1A4A">
        <w:t xml:space="preserve">ithin the dominant logic framework of shared cognitions that underpin strategic </w:t>
      </w:r>
      <w:r w:rsidR="00301484">
        <w:t>choices b</w:t>
      </w:r>
      <w:r w:rsidR="009C1A4A">
        <w:t xml:space="preserve">y pharmaceutical managers. </w:t>
      </w:r>
    </w:p>
    <w:p w:rsidR="009C1A4A" w:rsidRDefault="00B4640A" w:rsidP="009C1A4A">
      <w:pPr>
        <w:pStyle w:val="StyleLinespacingDouble"/>
      </w:pPr>
      <w:r>
        <w:t xml:space="preserve">We develop the dominant logic at this intersection for pharmaceutical marketing strategy next.  Thereafter, we take this theorizing forward by conceptualizing the dominant logic underlying physician-patient exchanges.  </w:t>
      </w:r>
      <w:r w:rsidR="00983022">
        <w:t>In the final section, we join these developments to highlight the conflicted action implications of disparate logics</w:t>
      </w:r>
      <w:r w:rsidR="00301484">
        <w:t xml:space="preserve"> in the pharmaceutical value chain</w:t>
      </w:r>
      <w:r w:rsidR="00983022">
        <w:t>.</w:t>
      </w:r>
    </w:p>
    <w:p w:rsidR="004F1C9F" w:rsidRDefault="00452BF6">
      <w:pPr>
        <w:pStyle w:val="StyleLinespacingDouble"/>
        <w:ind w:firstLine="0"/>
        <w:rPr>
          <w:b/>
          <w:bCs/>
          <w:i/>
        </w:rPr>
      </w:pPr>
      <w:r w:rsidRPr="00452BF6">
        <w:rPr>
          <w:b/>
          <w:bCs/>
          <w:i/>
        </w:rPr>
        <w:t>Pharmaceutical Marketing Strateg</w:t>
      </w:r>
      <w:r w:rsidR="00FB0881">
        <w:rPr>
          <w:b/>
          <w:bCs/>
          <w:i/>
        </w:rPr>
        <w:t>y</w:t>
      </w:r>
      <w:r w:rsidRPr="00452BF6">
        <w:rPr>
          <w:b/>
          <w:bCs/>
          <w:i/>
        </w:rPr>
        <w:t xml:space="preserve"> and Logics of Consequences</w:t>
      </w:r>
    </w:p>
    <w:p w:rsidR="009C1A4A" w:rsidRDefault="009A040D" w:rsidP="009C1A4A">
      <w:pPr>
        <w:pStyle w:val="StyleLinespacingDouble"/>
      </w:pPr>
      <w:r>
        <w:t>The dominant logic of pharmaceutical marketing conforms to the i</w:t>
      </w:r>
      <w:r w:rsidR="009C1A4A">
        <w:t xml:space="preserve">nstitutional theory </w:t>
      </w:r>
      <w:r>
        <w:t xml:space="preserve">conception of the </w:t>
      </w:r>
      <w:r w:rsidR="009C1A4A">
        <w:t>logic of consequences (March 1996; March and Olsen 1998), which asserts that an orderly and stable system of market relationships arise</w:t>
      </w:r>
      <w:r w:rsidR="00301484">
        <w:t>s</w:t>
      </w:r>
      <w:r w:rsidR="009C1A4A">
        <w:t xml:space="preserve"> as a result of exchanges among market actors pursuing self-interested gains. The logic of consequences is reminiscent of Adam Smith’s merchant logic, manifested through </w:t>
      </w:r>
      <w:r w:rsidR="0087567A">
        <w:t xml:space="preserve">assumptions of market mechanisms and </w:t>
      </w:r>
      <w:r w:rsidR="00AB7AA2">
        <w:t xml:space="preserve">goal of </w:t>
      </w:r>
      <w:r w:rsidR="0087567A">
        <w:t>maximizing ROI</w:t>
      </w:r>
      <w:r w:rsidR="009C1A4A">
        <w:t xml:space="preserve">. </w:t>
      </w:r>
      <w:r w:rsidR="0087567A">
        <w:t xml:space="preserve"> </w:t>
      </w:r>
      <w:r w:rsidR="009C1A4A">
        <w:t xml:space="preserve">Heide and Wathne (2006) note that the logic of consequences is common to several theories of inter-firm relationships including transaction cost, agency, and game theories. For instance, in a supply chain, self interested manufacturers and distributors may coordinate their actions and trust each other because the long term payoffs from coordination and restrained opportunism exceed short term benefits from unilateral opportunism (Barney and Hansen 1994). </w:t>
      </w:r>
    </w:p>
    <w:p w:rsidR="009C1A4A" w:rsidRDefault="00485E36" w:rsidP="009C1A4A">
      <w:pPr>
        <w:spacing w:line="480" w:lineRule="auto"/>
        <w:ind w:firstLine="720"/>
      </w:pPr>
      <w:r>
        <w:lastRenderedPageBreak/>
        <w:t xml:space="preserve">Past research provides evidence supporting the foundation of </w:t>
      </w:r>
      <w:r w:rsidR="009C1A4A">
        <w:t xml:space="preserve">pharmaceutical marketing </w:t>
      </w:r>
      <w:r>
        <w:t>on the bedrock of the</w:t>
      </w:r>
      <w:r w:rsidR="009C1A4A">
        <w:t xml:space="preserve"> logic of consequences</w:t>
      </w:r>
      <w:r>
        <w:t>.  In their review, Manchanda and Honka (</w:t>
      </w:r>
      <w:r w:rsidR="009C1A4A">
        <w:t xml:space="preserve">2005) </w:t>
      </w:r>
      <w:r>
        <w:t xml:space="preserve">note that much pharmaceutical marketing effort is </w:t>
      </w:r>
      <w:r w:rsidR="009C1A4A">
        <w:t xml:space="preserve">directed at physicians and consumers with the goal of facilitating market exchanges that </w:t>
      </w:r>
      <w:r w:rsidR="00FC65F2">
        <w:t xml:space="preserve">optimize </w:t>
      </w:r>
      <w:r w:rsidR="009C1A4A">
        <w:t xml:space="preserve">the company’s return on marketing investments (Narayanan, Desiraju, and Chintagunta, 2004; Ahearne, Gruen and Jarvis 1999).  Consider, for example, physician detailing, a wide spread practice of using sales representatives to reach physicians. </w:t>
      </w:r>
      <w:r w:rsidR="00077DF7">
        <w:t xml:space="preserve"> </w:t>
      </w:r>
      <w:r w:rsidR="009C1A4A">
        <w:t xml:space="preserve">Detailing efforts are guided by a consequential logic to deploy selling skills to </w:t>
      </w:r>
      <w:r w:rsidR="00911216">
        <w:t xml:space="preserve">slant </w:t>
      </w:r>
      <w:r w:rsidR="009C1A4A">
        <w:t>physicians</w:t>
      </w:r>
      <w:r w:rsidR="00911216">
        <w:t>’</w:t>
      </w:r>
      <w:r w:rsidR="009C1A4A">
        <w:t xml:space="preserve"> “tastes” and “utility functions” </w:t>
      </w:r>
      <w:r w:rsidR="00911216">
        <w:t>in</w:t>
      </w:r>
      <w:r w:rsidR="009C1A4A">
        <w:t xml:space="preserve"> favor </w:t>
      </w:r>
      <w:r w:rsidR="00911216">
        <w:t xml:space="preserve">of </w:t>
      </w:r>
      <w:r w:rsidR="009C1A4A">
        <w:t xml:space="preserve">the company’s products (Narayanan et al. 2005). Consistent with this, research examines whether the amount of detailing is “optimal” from a ROI perspective (Narayanan, Desiraju, and Chintagunta 2004). Manchanda and Honka (2005, p. 785) note that it is an “important” goal of research to “establish that detailing [has] significant effect on physician prescription behavior” and to “improve the efficiency and effectiveness of detailing practices.” Thus, a primary objective of </w:t>
      </w:r>
      <w:r w:rsidR="00911216">
        <w:t>detailing</w:t>
      </w:r>
      <w:r w:rsidR="00FC65F2">
        <w:t xml:space="preserve"> is</w:t>
      </w:r>
      <w:r w:rsidR="009C1A4A">
        <w:t xml:space="preserve"> to enhance ROI, a logic that is </w:t>
      </w:r>
      <w:r w:rsidR="00AB7AA2">
        <w:t>consistent with</w:t>
      </w:r>
      <w:r w:rsidR="009C1A4A">
        <w:t xml:space="preserve"> </w:t>
      </w:r>
      <w:r w:rsidR="00AB7AA2">
        <w:t xml:space="preserve">emphasis on </w:t>
      </w:r>
      <w:r w:rsidR="009C1A4A">
        <w:t xml:space="preserve">consequential returns. </w:t>
      </w:r>
    </w:p>
    <w:p w:rsidR="009C1A4A" w:rsidRDefault="00C46E5E" w:rsidP="009C1A4A">
      <w:pPr>
        <w:pStyle w:val="StyleLinespacingDouble"/>
      </w:pPr>
      <w:r>
        <w:t>T</w:t>
      </w:r>
      <w:r w:rsidR="00FC65F2">
        <w:t xml:space="preserve">he logic of consequences </w:t>
      </w:r>
      <w:r w:rsidR="0034243C">
        <w:t>is</w:t>
      </w:r>
      <w:r w:rsidR="00FC65F2">
        <w:t xml:space="preserve"> also </w:t>
      </w:r>
      <w:r w:rsidR="0034243C">
        <w:t>evident in other pharmaceutical marketing practices.  For instance, d</w:t>
      </w:r>
      <w:r w:rsidR="009C1A4A">
        <w:t xml:space="preserve">irect-to-consumer marketing </w:t>
      </w:r>
      <w:r w:rsidR="0034243C">
        <w:t>is</w:t>
      </w:r>
      <w:r w:rsidR="009C1A4A">
        <w:t xml:space="preserve"> intended to enhance awareness and provide information about product benefits to indirectly stimulate demand by </w:t>
      </w:r>
      <w:r w:rsidR="00AB7AA2">
        <w:t xml:space="preserve">provoking </w:t>
      </w:r>
      <w:r w:rsidR="009C1A4A">
        <w:t xml:space="preserve">consumers to consult their physicians for prescriptions. Although pharmaceutical companies assert the importance of patient welfare and product information, they openly acknowledge their motive to maximize return on </w:t>
      </w:r>
      <w:r w:rsidR="0034243C">
        <w:t xml:space="preserve">shareholder </w:t>
      </w:r>
      <w:r w:rsidR="009C1A4A">
        <w:t>investments. It is well known that return on investments of pharmaceutical companies (estimated at 15%) consistently exceed normal market returns and are one of the highest across a range of industries (Fagan 1998).</w:t>
      </w:r>
    </w:p>
    <w:p w:rsidR="00E50E8A" w:rsidRDefault="00E50E8A" w:rsidP="00E50E8A">
      <w:pPr>
        <w:pStyle w:val="StyleLinespacingDouble"/>
      </w:pPr>
      <w:r>
        <w:t xml:space="preserve">However, </w:t>
      </w:r>
      <w:r w:rsidR="00AB7AA2">
        <w:t xml:space="preserve">absent systematic studies of </w:t>
      </w:r>
      <w:r>
        <w:t>pharmaceutical marketing strategy</w:t>
      </w:r>
      <w:r w:rsidR="00D21747">
        <w:t>,</w:t>
      </w:r>
      <w:r>
        <w:t xml:space="preserve"> it </w:t>
      </w:r>
      <w:r w:rsidR="00D21747">
        <w:t>is premature</w:t>
      </w:r>
      <w:r>
        <w:t xml:space="preserve"> to unequivocally </w:t>
      </w:r>
      <w:r w:rsidR="00D21747">
        <w:t xml:space="preserve">assert </w:t>
      </w:r>
      <w:r w:rsidR="00232895">
        <w:t xml:space="preserve">the logic of consequences </w:t>
      </w:r>
      <w:r w:rsidR="00D21747">
        <w:t>as</w:t>
      </w:r>
      <w:r w:rsidR="00232895">
        <w:t xml:space="preserve"> its underlying dominant logic.  We recognize that such studies pose </w:t>
      </w:r>
      <w:r w:rsidR="00D21747">
        <w:t>nontrivial</w:t>
      </w:r>
      <w:r w:rsidR="00232895">
        <w:t xml:space="preserve"> challenges </w:t>
      </w:r>
      <w:r>
        <w:t xml:space="preserve">because significant aspects of </w:t>
      </w:r>
      <w:r w:rsidR="00232895">
        <w:t xml:space="preserve">strategy practice </w:t>
      </w:r>
      <w:r>
        <w:t xml:space="preserve">are “invisible” as they are either proprietary or hold competitive advantage only if they </w:t>
      </w:r>
      <w:r>
        <w:lastRenderedPageBreak/>
        <w:t xml:space="preserve">remain obscure. As a result, most commercially available data on pharmaceutical marketing practices (e.g., IMS, Verispan/Scott-Levin) include instruments that illuminate only those aspects of the strategic </w:t>
      </w:r>
      <w:r w:rsidR="00103220">
        <w:t>practice</w:t>
      </w:r>
      <w:r>
        <w:t xml:space="preserve"> that the organizations wish to make “visible.” </w:t>
      </w:r>
      <w:r w:rsidR="00103220">
        <w:t xml:space="preserve">Nevertheless, we believe that </w:t>
      </w:r>
      <w:r>
        <w:t xml:space="preserve">it is </w:t>
      </w:r>
      <w:r w:rsidR="00103220">
        <w:t>critical</w:t>
      </w:r>
      <w:r>
        <w:t xml:space="preserve"> to </w:t>
      </w:r>
      <w:r w:rsidR="00103220">
        <w:t>call for systematic and creative studies that shed light on the heretofore</w:t>
      </w:r>
      <w:r>
        <w:t xml:space="preserve"> “invisible” </w:t>
      </w:r>
      <w:r w:rsidR="00103220">
        <w:t>practice of pharmaceutical marketing strategy to understand its dominant logic and address the strategy-tactic gap</w:t>
      </w:r>
      <w:r>
        <w:t>.</w:t>
      </w:r>
      <w:r w:rsidR="00103220">
        <w:t xml:space="preserve">  </w:t>
      </w:r>
      <w:r w:rsidR="00B4640A">
        <w:t>Such studies need to consider pharmaceutical marketing strategy in the context of the logics of its value chain, which we develop next.</w:t>
      </w:r>
    </w:p>
    <w:p w:rsidR="004F1C9F" w:rsidRDefault="00452BF6">
      <w:pPr>
        <w:pStyle w:val="StyleLinespacingDouble"/>
        <w:ind w:firstLine="0"/>
        <w:rPr>
          <w:rFonts w:cs="Times New Roman Bold"/>
          <w:b/>
          <w:bCs/>
          <w:i/>
        </w:rPr>
      </w:pPr>
      <w:r w:rsidRPr="00452BF6">
        <w:rPr>
          <w:rFonts w:cs="Times New Roman Bold"/>
          <w:b/>
          <w:bCs/>
          <w:i/>
        </w:rPr>
        <w:t>Physician-Patient Exchanges and Logic of Appropriateness</w:t>
      </w:r>
    </w:p>
    <w:p w:rsidR="008520B6" w:rsidRDefault="00F47991" w:rsidP="00F47991">
      <w:pPr>
        <w:pStyle w:val="StyleLinespacingDouble"/>
      </w:pPr>
      <w:r>
        <w:t xml:space="preserve">The logic of appropriateness provides a theoretical foundation for conceptualizing physician-patient exchanges that are governed by institutionalized norms of fiduciary responsibility and rule driven cooperative behaviors even when such behaviors may undermine individual pay-offs (March 1996). </w:t>
      </w:r>
      <w:r w:rsidR="00E4277C">
        <w:t>Patients</w:t>
      </w:r>
      <w:r w:rsidR="00E4277C" w:rsidRPr="00117342">
        <w:t xml:space="preserve"> </w:t>
      </w:r>
      <w:r w:rsidRPr="00117342">
        <w:t xml:space="preserve">rely on the </w:t>
      </w:r>
      <w:r w:rsidR="00B22438" w:rsidRPr="00B22438">
        <w:t>professional</w:t>
      </w:r>
      <w:r w:rsidRPr="008520B6">
        <w:t xml:space="preserve"> </w:t>
      </w:r>
      <w:r w:rsidRPr="00117342">
        <w:t>expertise of physicians to obtain prescription regimens that help cure diseases and enhance well-being</w:t>
      </w:r>
      <w:r>
        <w:t xml:space="preserve">. </w:t>
      </w:r>
      <w:r w:rsidRPr="00117342">
        <w:t xml:space="preserve">From an economics perspective, such professional-mediated exchanges are problematic because of “hidden information”—not knowing how to distinguish credible professionals, and “hidden action”—not knowing whether the professional, once engaged, will shirk from acting to safeguard </w:t>
      </w:r>
      <w:r w:rsidR="00E4277C">
        <w:t>patient</w:t>
      </w:r>
      <w:r w:rsidR="00E4277C" w:rsidRPr="00117342">
        <w:t xml:space="preserve"> </w:t>
      </w:r>
      <w:r w:rsidRPr="00117342">
        <w:t>interest, among other agency problems (Arrow 1985)</w:t>
      </w:r>
      <w:r>
        <w:t xml:space="preserve">. </w:t>
      </w:r>
    </w:p>
    <w:p w:rsidR="000460E2" w:rsidRDefault="00F47991" w:rsidP="00F47991">
      <w:pPr>
        <w:pStyle w:val="StyleLinespacingDouble"/>
      </w:pPr>
      <w:r w:rsidRPr="00117342">
        <w:t xml:space="preserve">Sociological studies of </w:t>
      </w:r>
      <w:r>
        <w:t>the medical profession in particular, and professionals in general (e.g., lawyers, auditors), show</w:t>
      </w:r>
      <w:r w:rsidRPr="00117342">
        <w:t xml:space="preserve"> </w:t>
      </w:r>
      <w:r>
        <w:t>that institutionalizing the logics of appropriateness</w:t>
      </w:r>
      <w:r w:rsidRPr="00117342">
        <w:t xml:space="preserve"> </w:t>
      </w:r>
      <w:r w:rsidR="00B147B3">
        <w:t xml:space="preserve">is a mechanism for </w:t>
      </w:r>
      <w:r w:rsidRPr="00117342">
        <w:t>solv</w:t>
      </w:r>
      <w:r w:rsidR="00B147B3">
        <w:t>ing</w:t>
      </w:r>
      <w:r w:rsidRPr="00117342">
        <w:t xml:space="preserve"> th</w:t>
      </w:r>
      <w:r>
        <w:t xml:space="preserve">e agency </w:t>
      </w:r>
      <w:r w:rsidRPr="00117342">
        <w:t>problem</w:t>
      </w:r>
      <w:r>
        <w:t>s</w:t>
      </w:r>
      <w:r w:rsidRPr="00117342">
        <w:t xml:space="preserve"> (Parsons 1968; Starr 1982</w:t>
      </w:r>
      <w:r>
        <w:t xml:space="preserve">; Freidson 2001). Shapiro (1987, 2005) formalizes these arguments by positing that professionals may be viewed </w:t>
      </w:r>
      <w:r w:rsidRPr="00117342">
        <w:t xml:space="preserve">as “agents” </w:t>
      </w:r>
      <w:r>
        <w:t>who</w:t>
      </w:r>
      <w:r w:rsidRPr="00117342">
        <w:t xml:space="preserve"> </w:t>
      </w:r>
      <w:r>
        <w:t xml:space="preserve">are bound by fiduciary responsibility to </w:t>
      </w:r>
      <w:r w:rsidRPr="00117342">
        <w:t xml:space="preserve">serve the interests of </w:t>
      </w:r>
      <w:r>
        <w:t xml:space="preserve">“principals” (e.g., </w:t>
      </w:r>
      <w:r w:rsidRPr="00117342">
        <w:t>patients</w:t>
      </w:r>
      <w:r>
        <w:t>)</w:t>
      </w:r>
      <w:r w:rsidRPr="00117342">
        <w:t xml:space="preserve"> such that there is an expectation that the </w:t>
      </w:r>
      <w:r>
        <w:t xml:space="preserve">agent </w:t>
      </w:r>
      <w:r w:rsidRPr="00117342">
        <w:t>will put</w:t>
      </w:r>
      <w:r>
        <w:t xml:space="preserve"> the</w:t>
      </w:r>
      <w:r w:rsidRPr="00117342">
        <w:t xml:space="preserve"> </w:t>
      </w:r>
      <w:r>
        <w:t>principal’s</w:t>
      </w:r>
      <w:r w:rsidRPr="00117342">
        <w:t xml:space="preserve"> interests above</w:t>
      </w:r>
      <w:r>
        <w:t xml:space="preserve"> </w:t>
      </w:r>
      <w:r w:rsidR="00ED2A5B">
        <w:t>self-</w:t>
      </w:r>
      <w:r w:rsidR="00ED2A5B" w:rsidRPr="00117342">
        <w:t>interest</w:t>
      </w:r>
      <w:r>
        <w:t xml:space="preserve"> </w:t>
      </w:r>
      <w:r w:rsidRPr="00117342">
        <w:rPr>
          <w:color w:val="211E1E"/>
        </w:rPr>
        <w:t>(Boatright 199</w:t>
      </w:r>
      <w:r>
        <w:rPr>
          <w:color w:val="211E1E"/>
        </w:rPr>
        <w:t>2</w:t>
      </w:r>
      <w:r w:rsidRPr="00117342">
        <w:rPr>
          <w:color w:val="211E1E"/>
        </w:rPr>
        <w:t>)</w:t>
      </w:r>
      <w:r>
        <w:t xml:space="preserve">. </w:t>
      </w:r>
      <w:r w:rsidR="000460E2">
        <w:t>A</w:t>
      </w:r>
      <w:r>
        <w:t xml:space="preserve">ctors resolve choice dilemmas by following a set of prescribed rules paying less attention to the </w:t>
      </w:r>
      <w:r w:rsidR="00B147B3">
        <w:t xml:space="preserve">personal gains from their </w:t>
      </w:r>
      <w:r>
        <w:t xml:space="preserve">decisions (March </w:t>
      </w:r>
      <w:r w:rsidR="0062187E">
        <w:t>and</w:t>
      </w:r>
      <w:r>
        <w:t xml:space="preserve"> Olsen 1998). </w:t>
      </w:r>
    </w:p>
    <w:p w:rsidR="002370DB" w:rsidRDefault="002370DB" w:rsidP="002370DB">
      <w:pPr>
        <w:pStyle w:val="StyleLinespacingDouble"/>
      </w:pPr>
      <w:r>
        <w:lastRenderedPageBreak/>
        <w:t xml:space="preserve">Grayson, Johnson, and Chen (2008) note that in some industries (e.g., banking), professional organizations codify expectations for members’ actions that foster a “climate of trust” to draw and reassure customers.  Such rules are not instrumental, but essential to the evoked role identity. A banker is rule-bound to limit exposure of consumer deposits to risky investments, even though such practice may enhance payoffs, because doing so without consumer consent violates the norms of a “trusted banker” who upholds consumers’ best interests </w:t>
      </w:r>
      <w:r w:rsidRPr="00C220FB">
        <w:rPr>
          <w:i/>
        </w:rPr>
        <w:t>no matter what</w:t>
      </w:r>
      <w:r>
        <w:t>. Here, the principle of trust is essential to the identity of the banker; without trust one cannot claim to be a credible banker.</w:t>
      </w:r>
    </w:p>
    <w:p w:rsidR="006E2190" w:rsidRDefault="00F47991">
      <w:pPr>
        <w:pStyle w:val="StyleLinespacingDouble"/>
      </w:pPr>
      <w:r>
        <w:t xml:space="preserve">Institutionalized </w:t>
      </w:r>
      <w:r w:rsidRPr="00117342">
        <w:t>norms of fiduciary responsibilit</w:t>
      </w:r>
      <w:r>
        <w:t>y</w:t>
      </w:r>
      <w:r w:rsidRPr="00117342">
        <w:t xml:space="preserve"> commit professionals to </w:t>
      </w:r>
      <w:r>
        <w:t>follow c</w:t>
      </w:r>
      <w:r w:rsidRPr="00117342">
        <w:t>ode</w:t>
      </w:r>
      <w:r>
        <w:t>s</w:t>
      </w:r>
      <w:r w:rsidRPr="00117342">
        <w:t xml:space="preserve"> of </w:t>
      </w:r>
      <w:r>
        <w:t>conduct</w:t>
      </w:r>
      <w:r w:rsidRPr="00117342">
        <w:t xml:space="preserve"> or an oath of service (e.g., the Hippocratic Oath)</w:t>
      </w:r>
      <w:r>
        <w:t xml:space="preserve"> that build trust and curb opportunism. Consequently, an effective and stable system of market relationships, here involving physicians and </w:t>
      </w:r>
      <w:r w:rsidR="00E4277C">
        <w:t>patients</w:t>
      </w:r>
      <w:r>
        <w:t>, emerges when market agents (i.e., physicians) behave in accord with institutionalized norms of fiduciary responsibility that are “socially constructed, publicly known, anticipated</w:t>
      </w:r>
      <w:r w:rsidR="00E4277C">
        <w:t>,</w:t>
      </w:r>
      <w:r>
        <w:t xml:space="preserve"> and accepted” (March </w:t>
      </w:r>
      <w:r w:rsidR="0062187E">
        <w:t>and</w:t>
      </w:r>
      <w:r>
        <w:t xml:space="preserve"> Olsen 1998, p. 952). </w:t>
      </w:r>
    </w:p>
    <w:p w:rsidR="004F1C9F" w:rsidRDefault="00452BF6">
      <w:pPr>
        <w:pStyle w:val="StyleLinespacingDouble"/>
        <w:ind w:firstLine="0"/>
        <w:rPr>
          <w:rFonts w:cs="Times New Roman Bold"/>
          <w:b/>
          <w:bCs/>
          <w:i/>
        </w:rPr>
      </w:pPr>
      <w:r w:rsidRPr="00452BF6">
        <w:rPr>
          <w:rFonts w:cs="Times New Roman Bold"/>
          <w:b/>
          <w:bCs/>
          <w:i/>
        </w:rPr>
        <w:t>Conflicted Logics in a Pharmaceutical Industry Value Chain</w:t>
      </w:r>
    </w:p>
    <w:p w:rsidR="002370DB" w:rsidRDefault="00A261BF" w:rsidP="00F47991">
      <w:pPr>
        <w:pStyle w:val="StyleLinespacingDouble"/>
      </w:pPr>
      <w:r>
        <w:t xml:space="preserve">Our </w:t>
      </w:r>
      <w:r w:rsidR="00893D9A">
        <w:t xml:space="preserve">preceding </w:t>
      </w:r>
      <w:r>
        <w:t xml:space="preserve">analysis suggests that different </w:t>
      </w:r>
      <w:r w:rsidR="00F47991">
        <w:t xml:space="preserve">market actors (i.e., pharmaceutical companies and physicians) </w:t>
      </w:r>
      <w:r w:rsidR="00893D9A">
        <w:t xml:space="preserve">in a pharmaceutical value chain </w:t>
      </w:r>
      <w:r w:rsidR="00F47991">
        <w:t xml:space="preserve">are embedded in </w:t>
      </w:r>
      <w:r>
        <w:t xml:space="preserve">their own </w:t>
      </w:r>
      <w:r w:rsidR="00F47991">
        <w:t xml:space="preserve">distinct logic.  </w:t>
      </w:r>
      <w:r>
        <w:t xml:space="preserve">Collectively, </w:t>
      </w:r>
      <w:r w:rsidR="00F47991">
        <w:t>industry-physician and physician-</w:t>
      </w:r>
      <w:r w:rsidR="002370DB">
        <w:t xml:space="preserve">patient </w:t>
      </w:r>
      <w:r w:rsidR="00F47991">
        <w:t xml:space="preserve">exchanges coexist as an interdependent market system. Viewing the logics of consequences and appropriateness as coexistent requires theorizing their potential conflict and its </w:t>
      </w:r>
      <w:r w:rsidR="0087352B">
        <w:t xml:space="preserve">consequences for the value chain </w:t>
      </w:r>
      <w:r w:rsidR="00F47991">
        <w:t xml:space="preserve">(March </w:t>
      </w:r>
      <w:r w:rsidR="0062187E">
        <w:t>and</w:t>
      </w:r>
      <w:r w:rsidR="00F47991">
        <w:t xml:space="preserve"> Olsen 1998). This potential </w:t>
      </w:r>
      <w:r w:rsidR="002370DB">
        <w:t>for</w:t>
      </w:r>
      <w:r w:rsidR="00F47991">
        <w:t xml:space="preserve"> inherent conflict is centered on physicians who are engaged in consequential logic-based exchanges with the pharmaceutical industry on one side of the value chain, and in appropriateness logic-based relationships with </w:t>
      </w:r>
      <w:r w:rsidR="002370DB">
        <w:t xml:space="preserve">patients </w:t>
      </w:r>
      <w:r w:rsidR="00F47991">
        <w:t xml:space="preserve">on the other side. </w:t>
      </w:r>
    </w:p>
    <w:p w:rsidR="00F47991" w:rsidRDefault="00F47991" w:rsidP="00F47991">
      <w:pPr>
        <w:pStyle w:val="StyleLinespacingDouble"/>
      </w:pPr>
      <w:r>
        <w:t xml:space="preserve">Coexistent logics need not </w:t>
      </w:r>
      <w:r w:rsidRPr="00660BD3">
        <w:rPr>
          <w:i/>
          <w:iCs/>
        </w:rPr>
        <w:t>necessarily</w:t>
      </w:r>
      <w:r>
        <w:t xml:space="preserve"> lead to conflicted logics. Many physicians’ actions that are guided by consequential logic, such as the pursuit of a reputation for conducting controversial and influential studies, earning a decent income, and quality of life commensurate </w:t>
      </w:r>
      <w:r>
        <w:lastRenderedPageBreak/>
        <w:t>with their status, need not compromise physicians’ fiduciary responsibility in patient relationships. Likewise, while it may be commonly understood that detail salespeople work for pharmaceutical organizations that primarily follow a consequential logic, they are not necessarily restrained from acting as a trustworthy source of unbiased information. Only when actions implied by a particular logic directly or indirectly constrain or suppress possible actions that are implied by the second logic does a problem of conflicted logics exist (Carson 2004).</w:t>
      </w:r>
    </w:p>
    <w:p w:rsidR="00873384" w:rsidRDefault="00F47991" w:rsidP="00F47991">
      <w:pPr>
        <w:pStyle w:val="StyleLinespacingDouble"/>
      </w:pPr>
      <w:r>
        <w:t xml:space="preserve">The institutionalized frame of professionalized medicine holds that its members give priority to fiduciary responsibility and forgo self-interested gains. </w:t>
      </w:r>
      <w:r w:rsidR="00252755">
        <w:t xml:space="preserve">In other words, </w:t>
      </w:r>
      <w:r>
        <w:t xml:space="preserve">professions address conflict of logics problems by legislating norms that mandate the priority of the logic of appropriateness (e.g., American Medical Association’s </w:t>
      </w:r>
      <w:r w:rsidRPr="00731B92">
        <w:rPr>
          <w:i/>
          <w:iCs/>
        </w:rPr>
        <w:t>Ethics Opinion</w:t>
      </w:r>
      <w:r>
        <w:t xml:space="preserve"> at </w:t>
      </w:r>
      <w:r w:rsidRPr="00AE3DFC">
        <w:t>assn.org/ama/pub/category/print/4001.html</w:t>
      </w:r>
      <w:r>
        <w:t>,</w:t>
      </w:r>
      <w:r w:rsidRPr="00AE3DFC">
        <w:t xml:space="preserve"> </w:t>
      </w:r>
      <w:r>
        <w:t xml:space="preserve">and U.K. Medical Council’s </w:t>
      </w:r>
      <w:r w:rsidRPr="00731B92">
        <w:rPr>
          <w:i/>
          <w:iCs/>
        </w:rPr>
        <w:t>Good Medical Practice</w:t>
      </w:r>
      <w:r>
        <w:rPr>
          <w:i/>
          <w:iCs/>
        </w:rPr>
        <w:t xml:space="preserve"> </w:t>
      </w:r>
      <w:r w:rsidRPr="00AE3DFC">
        <w:t>at</w:t>
      </w:r>
      <w:r w:rsidRPr="00731B92">
        <w:rPr>
          <w:i/>
          <w:iCs/>
        </w:rPr>
        <w:t xml:space="preserve"> </w:t>
      </w:r>
      <w:hyperlink r:id="rId14" w:history="1">
        <w:r w:rsidRPr="00C36E4F">
          <w:rPr>
            <w:rStyle w:val="Hyperlink"/>
          </w:rPr>
          <w:t>gmc-uk.org/guidance/good_medical_practice</w:t>
        </w:r>
      </w:hyperlink>
      <w:r>
        <w:t xml:space="preserve">). </w:t>
      </w:r>
      <w:r w:rsidR="00681F40">
        <w:t xml:space="preserve"> Thus, p</w:t>
      </w:r>
      <w:r>
        <w:t>harmaceutical marketing efforts directed at building close relationships with physicians</w:t>
      </w:r>
      <w:r w:rsidR="00467211">
        <w:t xml:space="preserve"> may amplify the problem of conflicted logics</w:t>
      </w:r>
      <w:r w:rsidR="0059011A">
        <w:t xml:space="preserve">. Moore et al (2006, p.11) note </w:t>
      </w:r>
      <w:r>
        <w:t xml:space="preserve">that “doctors are loath to admit” that conflict of logics “slant” their </w:t>
      </w:r>
      <w:r w:rsidR="0059011A">
        <w:t>profession</w:t>
      </w:r>
      <w:r>
        <w:t>al judgments even as they are “succumbing” to them and “</w:t>
      </w:r>
      <w:r w:rsidRPr="000146A8">
        <w:rPr>
          <w:i/>
          <w:iCs/>
        </w:rPr>
        <w:t>believe</w:t>
      </w:r>
      <w:r>
        <w:t xml:space="preserve"> that their biased advice is unbiased</w:t>
      </w:r>
      <w:r w:rsidR="0059011A">
        <w:t>.</w:t>
      </w:r>
      <w:r>
        <w:t xml:space="preserve">” </w:t>
      </w:r>
    </w:p>
    <w:p w:rsidR="009546BA" w:rsidRDefault="00681F40" w:rsidP="00F47991">
      <w:pPr>
        <w:pStyle w:val="StyleLinespacingDouble"/>
      </w:pPr>
      <w:r>
        <w:t>I</w:t>
      </w:r>
      <w:r w:rsidR="00EB00C7">
        <w:t xml:space="preserve">nsights are needed to </w:t>
      </w:r>
      <w:r w:rsidR="006A2CC9">
        <w:t>map how the conflicted logics of the pharmaceutical value chain unfold over time</w:t>
      </w:r>
      <w:r w:rsidR="00EB00C7">
        <w:t>, and what factors amplify or diminish the underlying conflict.</w:t>
      </w:r>
      <w:r w:rsidR="006A2CC9">
        <w:t xml:space="preserve">  </w:t>
      </w:r>
      <w:r>
        <w:t xml:space="preserve">Although </w:t>
      </w:r>
      <w:r w:rsidR="00EB00C7">
        <w:t xml:space="preserve">the logics of pharmaceutical marketing and physician practice are </w:t>
      </w:r>
      <w:r w:rsidR="00B22438" w:rsidRPr="00B22438">
        <w:rPr>
          <w:i/>
        </w:rPr>
        <w:t>theoretically</w:t>
      </w:r>
      <w:r w:rsidR="00054DB8">
        <w:t xml:space="preserve"> conflicted, in </w:t>
      </w:r>
      <w:r w:rsidR="00B22438" w:rsidRPr="00B22438">
        <w:rPr>
          <w:i/>
        </w:rPr>
        <w:t>practice</w:t>
      </w:r>
      <w:r w:rsidR="00054DB8">
        <w:t xml:space="preserve"> the logics may coexist without posing impediments to collaborative relationships in the value chain. For instance, the pharmaceutical industry may pursue its consequential goals indirectly or passively while </w:t>
      </w:r>
      <w:r w:rsidR="002A10A3">
        <w:t xml:space="preserve">directly or actively focusing on </w:t>
      </w:r>
      <w:r w:rsidR="00054DB8">
        <w:t xml:space="preserve">value creation by emphasizing its products and therapies that serve appropriateness goals of the value chain.  </w:t>
      </w:r>
      <w:r w:rsidR="002A10A3">
        <w:t>The nature and degree of conflict in practice will vary by pharmaceutical industry’s choices of strategy content, and the dynamics they engender. Thus, to facilitate our theoretical development, we conduct a</w:t>
      </w:r>
      <w:r w:rsidR="009546BA">
        <w:t xml:space="preserve"> systematic and comprehensive examination of </w:t>
      </w:r>
      <w:r w:rsidR="00D420E1">
        <w:t xml:space="preserve">pharmaceutical </w:t>
      </w:r>
      <w:r w:rsidR="009546BA">
        <w:t xml:space="preserve">promotion </w:t>
      </w:r>
      <w:r w:rsidR="00D420E1">
        <w:t xml:space="preserve">practices and </w:t>
      </w:r>
      <w:r w:rsidR="00D420E1">
        <w:lastRenderedPageBreak/>
        <w:t>thereafter intersect the findings with the discourse in academic medicine</w:t>
      </w:r>
      <w:r w:rsidR="009546BA">
        <w:t xml:space="preserve"> to examine the nature and degree of conflict between the logics and </w:t>
      </w:r>
      <w:r w:rsidR="002A10A3">
        <w:t>i</w:t>
      </w:r>
      <w:r w:rsidR="009546BA">
        <w:t>t</w:t>
      </w:r>
      <w:r w:rsidR="002A10A3">
        <w:t>s</w:t>
      </w:r>
      <w:r w:rsidR="009546BA">
        <w:t xml:space="preserve"> evol</w:t>
      </w:r>
      <w:r w:rsidR="002A10A3">
        <w:t>ution</w:t>
      </w:r>
      <w:r w:rsidR="009546BA">
        <w:t xml:space="preserve"> over time.  </w:t>
      </w:r>
    </w:p>
    <w:p w:rsidR="000D40D9" w:rsidRDefault="001C496F" w:rsidP="0022291A">
      <w:pPr>
        <w:pStyle w:val="StyleLinespacingDouble"/>
        <w:spacing w:after="240" w:line="240" w:lineRule="auto"/>
        <w:jc w:val="center"/>
        <w:outlineLvl w:val="0"/>
        <w:rPr>
          <w:b/>
          <w:color w:val="211E1E"/>
        </w:rPr>
      </w:pPr>
      <w:r>
        <w:rPr>
          <w:b/>
        </w:rPr>
        <w:t xml:space="preserve">STUDY </w:t>
      </w:r>
      <w:r w:rsidR="002A10A3">
        <w:rPr>
          <w:b/>
        </w:rPr>
        <w:t>DATA AND A</w:t>
      </w:r>
      <w:r>
        <w:rPr>
          <w:b/>
        </w:rPr>
        <w:t>NALYTICAL APPROACH</w:t>
      </w:r>
    </w:p>
    <w:p w:rsidR="0059011A" w:rsidRDefault="00F74B2F" w:rsidP="00B651BB">
      <w:pPr>
        <w:pStyle w:val="StyleLinespacingDouble"/>
      </w:pPr>
      <w:r>
        <w:t xml:space="preserve">A particularly useful source for </w:t>
      </w:r>
      <w:r w:rsidR="00C84C2F">
        <w:t xml:space="preserve">unadulterated </w:t>
      </w:r>
      <w:r>
        <w:t>view of the industry’s strategi</w:t>
      </w:r>
      <w:r w:rsidR="00913F3A">
        <w:t>es</w:t>
      </w:r>
      <w:r>
        <w:t xml:space="preserve"> is publicly available court documents generated as part of discovery in a litigation involving industry marketing practices. The laws governing public access to court records provide detailed, authenticated, and otherwise proprietary data for review and analysis. Court records include internal memos, contractual arrangements, internal/consultant reports, strategy and tactics, financial/accounting analyses, and other related materials that are “discovered” during the process of case filing and research. Discovery materials do </w:t>
      </w:r>
      <w:r w:rsidRPr="00331EC1">
        <w:rPr>
          <w:i/>
          <w:iCs/>
        </w:rPr>
        <w:t>not</w:t>
      </w:r>
      <w:r>
        <w:t xml:space="preserve"> inherently indicate illegal practices. Many materials represent business as usual, and are used to provide the background for developing the court’s arguments and evidence. </w:t>
      </w:r>
    </w:p>
    <w:p w:rsidR="00F74B2F" w:rsidRDefault="00F74B2F" w:rsidP="00B651BB">
      <w:pPr>
        <w:pStyle w:val="StyleLinespacingDouble"/>
      </w:pPr>
      <w:r>
        <w:t xml:space="preserve">A careful, comprehensive, and thorough analysis of these discovery documents can provide a unique insight into industry practices that are neither illegal nor unconventional and are otherwise not available for public scrutiny.  Moreover, triangulating these insights with those available from the professional medicine and popular press literature is likely to bolster the confidence in the obtained insights and mitigate the risk that stems from analyzing a single case that may be idiosyncratic or atypical. Because they grant access to proprietary materials, recent research has increasingly used court documents to obtain insights into pharmaceutical marketing (Ross et al. 2008; Psaty </w:t>
      </w:r>
      <w:r w:rsidR="0062187E">
        <w:t>and</w:t>
      </w:r>
      <w:r>
        <w:t xml:space="preserve"> Kronmal 2008; Healy </w:t>
      </w:r>
      <w:r w:rsidR="0062187E">
        <w:t>and</w:t>
      </w:r>
      <w:r>
        <w:t xml:space="preserve"> Cattell 2003). Nevertheless, court cases are subject to biases of small (e.g., N = 1) and unrepresentative samples, and caution is warranted in generalizing from such analyses.</w:t>
      </w:r>
    </w:p>
    <w:p w:rsidR="00F74B2F" w:rsidRPr="002B45D9" w:rsidRDefault="00F74B2F" w:rsidP="00B651BB">
      <w:pPr>
        <w:pStyle w:val="StyleLinespacingDouble"/>
      </w:pPr>
      <w:r>
        <w:t>W</w:t>
      </w:r>
      <w:r w:rsidRPr="00117342">
        <w:t xml:space="preserve">e analyzed over 5,827 pages of </w:t>
      </w:r>
      <w:r>
        <w:t xml:space="preserve">discovery documents from a recent court case that involved marketing practices related to </w:t>
      </w:r>
      <w:r w:rsidRPr="00117342">
        <w:rPr>
          <w:rStyle w:val="tab"/>
        </w:rPr>
        <w:t>Neurontin</w:t>
      </w:r>
      <w:r w:rsidRPr="00117342">
        <w:t>®</w:t>
      </w:r>
      <w:r w:rsidRPr="00117342">
        <w:rPr>
          <w:rStyle w:val="tab"/>
        </w:rPr>
        <w:t xml:space="preserve"> </w:t>
      </w:r>
      <w:r>
        <w:rPr>
          <w:rStyle w:val="tab"/>
        </w:rPr>
        <w:t>(gabapentin)</w:t>
      </w:r>
      <w:r>
        <w:t xml:space="preserve">. Details of the case, </w:t>
      </w:r>
      <w:smartTag w:uri="urn:schemas-microsoft-com:office:smarttags" w:element="country-region">
        <w:smartTag w:uri="urn:schemas-microsoft-com:office:smarttags" w:element="place">
          <w:r w:rsidRPr="00117342">
            <w:rPr>
              <w:i/>
              <w:iCs/>
            </w:rPr>
            <w:t>United States of America</w:t>
          </w:r>
        </w:smartTag>
      </w:smartTag>
      <w:r w:rsidRPr="00117342">
        <w:rPr>
          <w:i/>
          <w:iCs/>
        </w:rPr>
        <w:t xml:space="preserve"> ex. rel David Franklin vs. Pfizer Inc, and Parke-Davis, Division of Warner-Lambert Company </w:t>
      </w:r>
      <w:r w:rsidRPr="00117342">
        <w:t>(Steinman, Bero, Chren</w:t>
      </w:r>
      <w:r>
        <w:t xml:space="preserve">, </w:t>
      </w:r>
      <w:r w:rsidR="0062187E">
        <w:t>and</w:t>
      </w:r>
      <w:r w:rsidRPr="00117342">
        <w:t xml:space="preserve"> Landefeld 2006)</w:t>
      </w:r>
      <w:r>
        <w:t xml:space="preserve"> settled on May 13, 2004, and </w:t>
      </w:r>
      <w:r>
        <w:lastRenderedPageBreak/>
        <w:t>our analytical procedures are in the Appendix</w:t>
      </w:r>
      <w:r w:rsidRPr="00117342">
        <w:rPr>
          <w:i/>
          <w:iCs/>
        </w:rPr>
        <w:t>.</w:t>
      </w:r>
      <w:r>
        <w:rPr>
          <w:i/>
          <w:iCs/>
        </w:rPr>
        <w:t xml:space="preserve"> </w:t>
      </w:r>
      <w:r>
        <w:t>In order to keep the discussion focused, we elaborate on the nature and scope of strategi</w:t>
      </w:r>
      <w:r w:rsidR="00913F3A">
        <w:t xml:space="preserve">es </w:t>
      </w:r>
      <w:r>
        <w:t xml:space="preserve">revealed in our analysis, and the underlying logics reflected in these </w:t>
      </w:r>
      <w:r w:rsidR="00913F3A">
        <w:t>strategies</w:t>
      </w:r>
      <w:r>
        <w:t>.</w:t>
      </w:r>
      <w:r w:rsidR="00913F3A">
        <w:t xml:space="preserve"> </w:t>
      </w:r>
      <w:r>
        <w:t xml:space="preserve">We supplement our analysis with reviews of professional medicine and popular press literature. To the extent professional medicine and popular press are voices of the industry’s downstream value-chain members, this supplementary review is of material significance in understanding </w:t>
      </w:r>
      <w:r w:rsidR="00C348BE">
        <w:t>conflicted logics of pharmaceutical value chain</w:t>
      </w:r>
      <w:r>
        <w:t>.</w:t>
      </w:r>
    </w:p>
    <w:p w:rsidR="007910EE" w:rsidRPr="007910EE" w:rsidRDefault="007910EE" w:rsidP="007910EE">
      <w:pPr>
        <w:pStyle w:val="StyleLinespacingDouble"/>
        <w:ind w:firstLine="0"/>
        <w:jc w:val="center"/>
        <w:outlineLvl w:val="0"/>
        <w:rPr>
          <w:b/>
        </w:rPr>
      </w:pPr>
      <w:r w:rsidRPr="007910EE">
        <w:rPr>
          <w:b/>
        </w:rPr>
        <w:t>RESULTS</w:t>
      </w:r>
    </w:p>
    <w:p w:rsidR="004C793C" w:rsidRDefault="00BD4C88" w:rsidP="00B651BB">
      <w:pPr>
        <w:pStyle w:val="StyleLinespacingDouble"/>
      </w:pPr>
      <w:r>
        <w:t xml:space="preserve">Our data analysis revealed </w:t>
      </w:r>
      <w:r w:rsidR="004B4823">
        <w:t xml:space="preserve">(a) </w:t>
      </w:r>
      <w:r w:rsidR="0049558B">
        <w:t xml:space="preserve">four </w:t>
      </w:r>
      <w:r w:rsidR="006F28D2">
        <w:t xml:space="preserve">distinct </w:t>
      </w:r>
      <w:r w:rsidR="0062184F">
        <w:t xml:space="preserve">strategies </w:t>
      </w:r>
      <w:r w:rsidR="004B4823">
        <w:t>used by the pharmaceutical</w:t>
      </w:r>
      <w:r w:rsidR="006F28D2">
        <w:t xml:space="preserve"> company </w:t>
      </w:r>
      <w:r w:rsidR="004B4823">
        <w:t xml:space="preserve">to </w:t>
      </w:r>
      <w:r w:rsidR="00442580">
        <w:t xml:space="preserve">communicate with </w:t>
      </w:r>
      <w:r w:rsidR="004B4823">
        <w:t>physician</w:t>
      </w:r>
      <w:r w:rsidR="00442580">
        <w:t>s</w:t>
      </w:r>
      <w:r w:rsidR="004B4823">
        <w:t xml:space="preserve">, and (b) </w:t>
      </w:r>
      <w:r w:rsidR="004C793C">
        <w:t>systematic interdependencies</w:t>
      </w:r>
      <w:r w:rsidR="004B4823">
        <w:t xml:space="preserve"> among the </w:t>
      </w:r>
      <w:r w:rsidR="004C793C">
        <w:t xml:space="preserve">four strategies </w:t>
      </w:r>
      <w:r w:rsidR="00346887">
        <w:t>that</w:t>
      </w:r>
      <w:r w:rsidR="004C793C">
        <w:t xml:space="preserve"> we categorize as either expertise- or promotion-based for the discussion that follows.  Figure 1 displays both the strategies and their interdependencies.  </w:t>
      </w:r>
      <w:r w:rsidR="004209D5">
        <w:t>Table 1 summariz</w:t>
      </w:r>
      <w:r w:rsidR="00A67245">
        <w:t>es</w:t>
      </w:r>
      <w:r w:rsidR="004209D5">
        <w:t xml:space="preserve"> each of the four strategies providing links to relevant documents </w:t>
      </w:r>
      <w:r w:rsidR="00A7098A">
        <w:t xml:space="preserve">that provide evidence of </w:t>
      </w:r>
      <w:r w:rsidR="00430E76">
        <w:t xml:space="preserve">individual </w:t>
      </w:r>
      <w:r w:rsidR="00A67245">
        <w:t>strateg</w:t>
      </w:r>
      <w:r w:rsidR="00A7098A">
        <w:t>ies</w:t>
      </w:r>
      <w:r w:rsidR="00A67245">
        <w:t xml:space="preserve">.  </w:t>
      </w:r>
      <w:r w:rsidR="00C70CFB">
        <w:t>I</w:t>
      </w:r>
      <w:r w:rsidR="009A340B" w:rsidRPr="00763604">
        <w:rPr>
          <w:rFonts w:ascii="Times-Roman" w:hAnsi="Times-Roman" w:cs="Times-Roman"/>
          <w:color w:val="231F20"/>
        </w:rPr>
        <w:t>ncluded in Table 1 are marketing objectives</w:t>
      </w:r>
      <w:r w:rsidR="009A340B">
        <w:rPr>
          <w:rFonts w:ascii="Times-Roman" w:hAnsi="Times-Roman" w:cs="Times-Roman"/>
          <w:color w:val="231F20"/>
        </w:rPr>
        <w:t xml:space="preserve"> and tactics</w:t>
      </w:r>
      <w:r w:rsidR="009A340B" w:rsidRPr="00763604">
        <w:rPr>
          <w:rFonts w:ascii="Times-Roman" w:hAnsi="Times-Roman" w:cs="Times-Roman"/>
          <w:color w:val="231F20"/>
        </w:rPr>
        <w:t xml:space="preserve"> established for each strategy as extracted from internal company documents (see column</w:t>
      </w:r>
      <w:r w:rsidR="009A340B">
        <w:rPr>
          <w:rFonts w:ascii="Times-Roman" w:hAnsi="Times-Roman" w:cs="Times-Roman"/>
          <w:color w:val="231F20"/>
        </w:rPr>
        <w:t>s</w:t>
      </w:r>
      <w:r w:rsidR="009A340B" w:rsidRPr="00763604">
        <w:rPr>
          <w:rFonts w:ascii="Times-Roman" w:hAnsi="Times-Roman" w:cs="Times-Roman"/>
          <w:color w:val="231F20"/>
        </w:rPr>
        <w:t xml:space="preserve">, </w:t>
      </w:r>
      <w:r w:rsidR="009A340B">
        <w:rPr>
          <w:rFonts w:ascii="Times-Roman" w:hAnsi="Times-Roman" w:cs="Times-Roman"/>
          <w:color w:val="231F20"/>
        </w:rPr>
        <w:t xml:space="preserve">“Strategy” </w:t>
      </w:r>
      <w:r w:rsidR="0062187E">
        <w:rPr>
          <w:rFonts w:ascii="Times-Roman" w:hAnsi="Times-Roman" w:cs="Times-Roman"/>
          <w:color w:val="231F20"/>
        </w:rPr>
        <w:t>and</w:t>
      </w:r>
      <w:r w:rsidR="009A340B">
        <w:rPr>
          <w:rFonts w:ascii="Times-Roman" w:hAnsi="Times-Roman" w:cs="Times-Roman"/>
          <w:color w:val="231F20"/>
        </w:rPr>
        <w:t xml:space="preserve"> </w:t>
      </w:r>
      <w:r w:rsidR="009A340B" w:rsidRPr="00763604">
        <w:rPr>
          <w:rFonts w:ascii="Times-Roman" w:hAnsi="Times-Roman" w:cs="Times-Roman"/>
          <w:color w:val="231F20"/>
        </w:rPr>
        <w:t xml:space="preserve">“Marketing Tactics”). </w:t>
      </w:r>
      <w:r w:rsidR="009A340B">
        <w:rPr>
          <w:rFonts w:ascii="Times-Roman" w:hAnsi="Times-Roman" w:cs="Times-Roman"/>
          <w:color w:val="231F20"/>
        </w:rPr>
        <w:t>V</w:t>
      </w:r>
      <w:r w:rsidR="009A340B" w:rsidRPr="00763604">
        <w:rPr>
          <w:rFonts w:ascii="Times-Roman" w:hAnsi="Times-Roman" w:cs="Times-Roman"/>
          <w:color w:val="231F20"/>
        </w:rPr>
        <w:t xml:space="preserve">erbatim comments are included from internal documents and sworn testimonies. </w:t>
      </w:r>
      <w:r w:rsidR="00D96EB7">
        <w:t xml:space="preserve">In addition, Table 1 also includes references to additional popular sources </w:t>
      </w:r>
      <w:r w:rsidR="00A7098A">
        <w:t xml:space="preserve">to provide evidence of </w:t>
      </w:r>
      <w:r w:rsidR="00D96EB7">
        <w:t>broader industry use of the identified strategy (</w:t>
      </w:r>
      <w:r w:rsidR="00850F47">
        <w:t xml:space="preserve">see </w:t>
      </w:r>
      <w:r w:rsidR="00D96EB7">
        <w:t>last column</w:t>
      </w:r>
      <w:r w:rsidR="00442580">
        <w:t xml:space="preserve"> titled “</w:t>
      </w:r>
      <w:r w:rsidR="0059011A">
        <w:t>External Validity</w:t>
      </w:r>
      <w:r w:rsidR="00442580">
        <w:t>”</w:t>
      </w:r>
      <w:r w:rsidR="00D96EB7">
        <w:t xml:space="preserve">). </w:t>
      </w:r>
      <w:r w:rsidR="0059011A">
        <w:t>We also supplement this source of external validity</w:t>
      </w:r>
      <w:r w:rsidR="00850F47">
        <w:t xml:space="preserve"> with discourse in academic medicine under each strategy.</w:t>
      </w:r>
      <w:r w:rsidR="0059011A">
        <w:t xml:space="preserve"> </w:t>
      </w:r>
      <w:r w:rsidR="00D96EB7">
        <w:t xml:space="preserve">We use this evidence to mitigate the concern that the identified strategies are idiosyncratic to the pharmaceutical company involved in the focal court case.  </w:t>
      </w:r>
      <w:r w:rsidR="00430E76">
        <w:t>B</w:t>
      </w:r>
      <w:r w:rsidR="004209D5">
        <w:t>elow, we discuss each of our results and refer to actual court documents and verbatim notes (and quotes) to illustrate our findings.</w:t>
      </w:r>
    </w:p>
    <w:p w:rsidR="00D96EB7" w:rsidRDefault="00EC697B" w:rsidP="00D96EB7">
      <w:pPr>
        <w:pStyle w:val="StyleLinespacingDouble"/>
        <w:jc w:val="center"/>
      </w:pPr>
      <w:r>
        <w:t>(</w:t>
      </w:r>
      <w:r w:rsidR="00D96EB7">
        <w:t>Insert Figure 1</w:t>
      </w:r>
      <w:r w:rsidR="00945FE7">
        <w:t xml:space="preserve"> and</w:t>
      </w:r>
      <w:r w:rsidR="00D96EB7">
        <w:t xml:space="preserve"> Table 1 about here</w:t>
      </w:r>
      <w:r>
        <w:t>)</w:t>
      </w:r>
    </w:p>
    <w:p w:rsidR="00C12071" w:rsidRPr="00A400F7" w:rsidRDefault="007910EE" w:rsidP="0022291A">
      <w:pPr>
        <w:spacing w:line="480" w:lineRule="auto"/>
        <w:outlineLvl w:val="0"/>
        <w:rPr>
          <w:b/>
          <w:i/>
        </w:rPr>
      </w:pPr>
      <w:r w:rsidRPr="007910EE">
        <w:rPr>
          <w:b/>
          <w:i/>
        </w:rPr>
        <w:t>Pharmaceutical Marketing Strategies and Associated Tactics</w:t>
      </w:r>
    </w:p>
    <w:p w:rsidR="00EB00C7" w:rsidRDefault="00EC697B">
      <w:pPr>
        <w:spacing w:line="480" w:lineRule="auto"/>
        <w:ind w:firstLine="720"/>
      </w:pPr>
      <w:r>
        <w:t xml:space="preserve">The </w:t>
      </w:r>
      <w:r w:rsidR="005623E1">
        <w:t xml:space="preserve">four distinct strategies </w:t>
      </w:r>
      <w:r>
        <w:t xml:space="preserve">identified in our analysis </w:t>
      </w:r>
      <w:r w:rsidR="005623E1">
        <w:t>to influence physician decision making</w:t>
      </w:r>
      <w:r>
        <w:t xml:space="preserve"> include</w:t>
      </w:r>
      <w:r w:rsidR="005623E1">
        <w:t xml:space="preserve">: (1) </w:t>
      </w:r>
      <w:r w:rsidR="00850F47">
        <w:t xml:space="preserve">market penetration strategy involving a focus on segmentation and </w:t>
      </w:r>
      <w:r w:rsidR="00850F47">
        <w:lastRenderedPageBreak/>
        <w:t xml:space="preserve">penetration, (2) </w:t>
      </w:r>
      <w:r w:rsidR="00E83B6E">
        <w:t xml:space="preserve">evidence based </w:t>
      </w:r>
      <w:r w:rsidR="005623E1">
        <w:t>strategy involving production of science, (</w:t>
      </w:r>
      <w:r w:rsidR="00850F47">
        <w:t>3</w:t>
      </w:r>
      <w:r w:rsidR="005623E1">
        <w:t xml:space="preserve">) </w:t>
      </w:r>
      <w:r w:rsidR="00E83B6E">
        <w:t xml:space="preserve">medical </w:t>
      </w:r>
      <w:r w:rsidR="005623E1">
        <w:t xml:space="preserve">education strategy involving developing and disseminating standards of care, </w:t>
      </w:r>
      <w:r w:rsidR="00850F47">
        <w:t xml:space="preserve">and </w:t>
      </w:r>
      <w:r w:rsidR="00E90703">
        <w:t>(</w:t>
      </w:r>
      <w:r w:rsidR="00850F47">
        <w:t>4</w:t>
      </w:r>
      <w:r w:rsidR="00E90703">
        <w:t xml:space="preserve">) surrogate selling strategy involving promoting and leveraging peer-to-peer influence </w:t>
      </w:r>
      <w:r w:rsidR="00E90703" w:rsidRPr="00C45318">
        <w:rPr>
          <w:iCs/>
        </w:rPr>
        <w:t>among target physicians</w:t>
      </w:r>
      <w:r w:rsidR="005623E1" w:rsidRPr="00C45318">
        <w:rPr>
          <w:iCs/>
        </w:rPr>
        <w:t>.</w:t>
      </w:r>
      <w:r>
        <w:rPr>
          <w:iCs/>
        </w:rPr>
        <w:t xml:space="preserve"> We discuss each in turn and the tactics associated with each strategy.</w:t>
      </w:r>
    </w:p>
    <w:p w:rsidR="00850F47" w:rsidRDefault="007910EE" w:rsidP="00850F47">
      <w:pPr>
        <w:pStyle w:val="StyleLinespacingDouble"/>
      </w:pPr>
      <w:r w:rsidRPr="007910EE">
        <w:rPr>
          <w:bCs/>
          <w:iCs/>
        </w:rPr>
        <w:t xml:space="preserve">The </w:t>
      </w:r>
      <w:r w:rsidR="00850F47">
        <w:rPr>
          <w:bCs/>
          <w:i/>
          <w:iCs/>
        </w:rPr>
        <w:t>Market penetration</w:t>
      </w:r>
      <w:r w:rsidR="00850F47" w:rsidRPr="00773627">
        <w:rPr>
          <w:bCs/>
          <w:i/>
          <w:iCs/>
        </w:rPr>
        <w:t xml:space="preserve"> </w:t>
      </w:r>
      <w:r w:rsidR="00850F47">
        <w:rPr>
          <w:bCs/>
          <w:i/>
          <w:iCs/>
        </w:rPr>
        <w:t>s</w:t>
      </w:r>
      <w:r w:rsidR="00850F47" w:rsidRPr="00773627">
        <w:rPr>
          <w:bCs/>
          <w:i/>
          <w:iCs/>
        </w:rPr>
        <w:t>trategy</w:t>
      </w:r>
      <w:r w:rsidR="00850F47">
        <w:rPr>
          <w:bCs/>
          <w:i/>
          <w:iCs/>
        </w:rPr>
        <w:t xml:space="preserve"> </w:t>
      </w:r>
      <w:r w:rsidR="00850F47" w:rsidRPr="00DF6C36">
        <w:rPr>
          <w:bCs/>
          <w:iCs/>
        </w:rPr>
        <w:t>involve</w:t>
      </w:r>
      <w:r w:rsidR="00850F47">
        <w:rPr>
          <w:bCs/>
          <w:iCs/>
        </w:rPr>
        <w:t xml:space="preserve">d </w:t>
      </w:r>
      <w:r w:rsidR="00850F47">
        <w:rPr>
          <w:rStyle w:val="StyleItalic"/>
          <w:b w:val="0"/>
          <w:bCs w:val="0"/>
        </w:rPr>
        <w:t>(</w:t>
      </w:r>
      <w:r w:rsidR="00EC697B">
        <w:rPr>
          <w:rStyle w:val="StyleItalic"/>
          <w:b w:val="0"/>
          <w:bCs w:val="0"/>
        </w:rPr>
        <w:t>a</w:t>
      </w:r>
      <w:r w:rsidR="00850F47">
        <w:rPr>
          <w:rStyle w:val="StyleItalic"/>
          <w:b w:val="0"/>
          <w:bCs w:val="0"/>
        </w:rPr>
        <w:t xml:space="preserve">) identifying and profiling high-potential </w:t>
      </w:r>
      <w:r w:rsidR="00850F47">
        <w:t>p</w:t>
      </w:r>
      <w:r w:rsidR="00850F47" w:rsidRPr="00117342">
        <w:t>hysicians</w:t>
      </w:r>
      <w:r w:rsidR="00850F47">
        <w:t>; (</w:t>
      </w:r>
      <w:r w:rsidR="00EC697B">
        <w:t>b</w:t>
      </w:r>
      <w:r w:rsidR="00850F47">
        <w:t xml:space="preserve">) estimating each physician’s market potential; </w:t>
      </w:r>
      <w:r w:rsidR="00EC697B">
        <w:t xml:space="preserve">and </w:t>
      </w:r>
      <w:r w:rsidR="00850F47">
        <w:t>(</w:t>
      </w:r>
      <w:r w:rsidR="00EC697B">
        <w:t>c</w:t>
      </w:r>
      <w:r w:rsidR="00850F47">
        <w:t>) establishing penetration goals for each segment to achieve maximal consequential impact (first row Table 1; Figure 1)</w:t>
      </w:r>
      <w:r w:rsidR="00850F47" w:rsidRPr="00117342">
        <w:t>.</w:t>
      </w:r>
      <w:r w:rsidR="00850F47" w:rsidRPr="00AC5399">
        <w:t xml:space="preserve"> </w:t>
      </w:r>
      <w:r w:rsidR="00850F47">
        <w:t xml:space="preserve">High potential physicians were </w:t>
      </w:r>
      <w:r w:rsidR="00850F47" w:rsidRPr="00E12408">
        <w:t xml:space="preserve">identified </w:t>
      </w:r>
      <w:r w:rsidR="00850F47">
        <w:t xml:space="preserve">using data from health information companies (e.g., IMS Health, Verispan) </w:t>
      </w:r>
      <w:r w:rsidR="00EC697B">
        <w:t xml:space="preserve">providing </w:t>
      </w:r>
      <w:r w:rsidR="00850F47">
        <w:t xml:space="preserve">records of each physician’s prescription writing (identified by license number) which is linked to physician demographic profile obtained from the American Medical Association (Steinbrook 2006). This unique data allows segmenting the market to identify “high prescribers” and tracking their prescription writing over time. Market potential was </w:t>
      </w:r>
      <w:r w:rsidR="00850F47" w:rsidRPr="00E12408">
        <w:t>calculated</w:t>
      </w:r>
      <w:r w:rsidR="00850F47">
        <w:t xml:space="preserve"> by categorizing prescription writing patterns into deciles</w:t>
      </w:r>
      <w:r w:rsidR="00EC697B">
        <w:t>—</w:t>
      </w:r>
      <w:r w:rsidR="00850F47">
        <w:t>higher</w:t>
      </w:r>
      <w:r w:rsidR="00EC697B">
        <w:t xml:space="preserve"> </w:t>
      </w:r>
      <w:r w:rsidR="00850F47">
        <w:t>deciles indicate higher market potential (e.g., market potential of 10</w:t>
      </w:r>
      <w:r w:rsidR="00850F47" w:rsidRPr="0077685D">
        <w:rPr>
          <w:vertAlign w:val="superscript"/>
        </w:rPr>
        <w:t>th</w:t>
      </w:r>
      <w:r w:rsidR="00850F47">
        <w:t xml:space="preserve"> </w:t>
      </w:r>
      <w:r w:rsidR="00850F47" w:rsidRPr="00117342">
        <w:t xml:space="preserve">decile </w:t>
      </w:r>
      <w:r w:rsidR="00850F47">
        <w:t xml:space="preserve">physicians </w:t>
      </w:r>
      <w:r w:rsidR="00850F47" w:rsidRPr="00117342">
        <w:t xml:space="preserve">estimated at $309,517 </w:t>
      </w:r>
      <w:r w:rsidR="00850F47">
        <w:t>(e</w:t>
      </w:r>
      <w:r w:rsidR="00850F47" w:rsidRPr="00117342">
        <w:t>xhibit 35</w:t>
      </w:r>
      <w:r w:rsidR="00F23715">
        <w:rPr>
          <w:rStyle w:val="FootnoteReference"/>
        </w:rPr>
        <w:footnoteReference w:id="4"/>
      </w:r>
      <w:r w:rsidR="00850F47" w:rsidRPr="00117342">
        <w:t>)</w:t>
      </w:r>
      <w:r w:rsidR="00850F47">
        <w:t xml:space="preserve">). Using the decile information, Parke-Davis set </w:t>
      </w:r>
      <w:r w:rsidR="00850F47" w:rsidRPr="00E12408">
        <w:t>penetration goals</w:t>
      </w:r>
      <w:r w:rsidR="00850F47">
        <w:t xml:space="preserve"> for sales people by emphasizing that </w:t>
      </w:r>
      <w:r w:rsidR="00850F47" w:rsidRPr="00BA45D1">
        <w:t>it takes “17 decile 7 physicians to bring the same business as one decile 10 physician</w:t>
      </w:r>
      <w:r w:rsidR="00850F47">
        <w:t>,</w:t>
      </w:r>
      <w:r w:rsidR="00850F47" w:rsidRPr="00BA45D1">
        <w:t xml:space="preserve">” </w:t>
      </w:r>
      <w:r w:rsidR="00850F47">
        <w:t>(Exhibit 35). To enhance salespeople credibility with decile 10 physicians, Parke Davis implemented a Medical Liaison Program where highly qualified scientists (often with Ph</w:t>
      </w:r>
      <w:r w:rsidR="00EC697B">
        <w:t>.</w:t>
      </w:r>
      <w:r w:rsidR="00850F47">
        <w:t>D</w:t>
      </w:r>
      <w:r w:rsidR="00EC697B">
        <w:t>.</w:t>
      </w:r>
      <w:r w:rsidR="00850F47">
        <w:t>s) were partnered with salespeople to address scientific questions about efficacy of drugs in physician interactions.  For instance,</w:t>
      </w:r>
      <w:r w:rsidR="00850F47" w:rsidRPr="000D7A7A">
        <w:t xml:space="preserve"> </w:t>
      </w:r>
      <w:r w:rsidR="00850F47">
        <w:t xml:space="preserve">a Parke Davis territory manager explains the difficulty in gaining access to a decile 10 physician and </w:t>
      </w:r>
      <w:r w:rsidR="00EC697B">
        <w:t xml:space="preserve">the role of </w:t>
      </w:r>
      <w:r w:rsidR="00850F47">
        <w:t xml:space="preserve">medical </w:t>
      </w:r>
      <w:r w:rsidR="00FD3B2E">
        <w:t xml:space="preserve">(clinical) </w:t>
      </w:r>
      <w:r w:rsidR="00850F47">
        <w:t>liaison</w:t>
      </w:r>
      <w:r w:rsidR="00EC697B">
        <w:t>s</w:t>
      </w:r>
      <w:r w:rsidR="00850F47">
        <w:t xml:space="preserve"> </w:t>
      </w:r>
      <w:r w:rsidR="00FD3B2E">
        <w:t>to overcome it</w:t>
      </w:r>
      <w:r w:rsidR="00850F47">
        <w:t>:</w:t>
      </w:r>
    </w:p>
    <w:p w:rsidR="0069014D" w:rsidRDefault="00850F47" w:rsidP="001C496F">
      <w:pPr>
        <w:autoSpaceDE w:val="0"/>
        <w:autoSpaceDN w:val="0"/>
        <w:adjustRightInd w:val="0"/>
        <w:spacing w:after="240"/>
      </w:pPr>
      <w:r>
        <w:rPr>
          <w:i/>
          <w:kern w:val="0"/>
        </w:rPr>
        <w:t xml:space="preserve"> “</w:t>
      </w:r>
      <w:r w:rsidRPr="00BC0946">
        <w:rPr>
          <w:i/>
          <w:kern w:val="0"/>
        </w:rPr>
        <w:t xml:space="preserve">Dr. </w:t>
      </w:r>
      <w:r>
        <w:rPr>
          <w:i/>
          <w:kern w:val="0"/>
        </w:rPr>
        <w:t xml:space="preserve">X was decile 10 …. </w:t>
      </w:r>
      <w:r w:rsidRPr="00BC0946">
        <w:rPr>
          <w:i/>
          <w:kern w:val="0"/>
        </w:rPr>
        <w:t xml:space="preserve">doesn't see anybody. And the door was opened by bringing the clinical liaison in </w:t>
      </w:r>
      <w:r>
        <w:rPr>
          <w:i/>
          <w:kern w:val="0"/>
        </w:rPr>
        <w:t>…</w:t>
      </w:r>
      <w:r w:rsidRPr="00BC0946">
        <w:rPr>
          <w:i/>
          <w:kern w:val="0"/>
        </w:rPr>
        <w:t xml:space="preserve"> I think it's</w:t>
      </w:r>
      <w:r>
        <w:rPr>
          <w:i/>
          <w:kern w:val="0"/>
        </w:rPr>
        <w:t xml:space="preserve"> an ego trip for the physician</w:t>
      </w:r>
      <w:r w:rsidR="009E585B">
        <w:rPr>
          <w:i/>
          <w:kern w:val="0"/>
        </w:rPr>
        <w:t>,</w:t>
      </w:r>
      <w:r>
        <w:rPr>
          <w:i/>
          <w:kern w:val="0"/>
        </w:rPr>
        <w:t xml:space="preserve">” </w:t>
      </w:r>
      <w:r w:rsidRPr="00E45898">
        <w:rPr>
          <w:kern w:val="0"/>
        </w:rPr>
        <w:t>(Exhibit A)</w:t>
      </w:r>
      <w:r>
        <w:t>.</w:t>
      </w:r>
    </w:p>
    <w:p w:rsidR="00A0630C" w:rsidRPr="00DA5642" w:rsidRDefault="00FD3B2E" w:rsidP="00DA5642">
      <w:pPr>
        <w:autoSpaceDE w:val="0"/>
        <w:autoSpaceDN w:val="0"/>
        <w:adjustRightInd w:val="0"/>
        <w:spacing w:line="480" w:lineRule="auto"/>
        <w:rPr>
          <w:kern w:val="0"/>
        </w:rPr>
      </w:pPr>
      <w:r>
        <w:rPr>
          <w:bCs/>
          <w:iCs/>
        </w:rPr>
        <w:t xml:space="preserve">Similar indication of market penetration strategy is evident as common industry practice in the </w:t>
      </w:r>
      <w:r w:rsidR="00A0630C" w:rsidRPr="002C3A4B">
        <w:rPr>
          <w:bCs/>
          <w:iCs/>
        </w:rPr>
        <w:t xml:space="preserve">secondary data </w:t>
      </w:r>
      <w:r>
        <w:rPr>
          <w:bCs/>
          <w:iCs/>
        </w:rPr>
        <w:t xml:space="preserve">we collected </w:t>
      </w:r>
      <w:r w:rsidR="00A0630C" w:rsidRPr="002C3A4B">
        <w:rPr>
          <w:bCs/>
          <w:iCs/>
        </w:rPr>
        <w:t xml:space="preserve">to </w:t>
      </w:r>
      <w:r>
        <w:rPr>
          <w:bCs/>
          <w:iCs/>
        </w:rPr>
        <w:t xml:space="preserve">examine the validity of </w:t>
      </w:r>
      <w:r w:rsidR="00A0630C" w:rsidRPr="002C3A4B">
        <w:rPr>
          <w:bCs/>
          <w:iCs/>
        </w:rPr>
        <w:t>our findings</w:t>
      </w:r>
      <w:r w:rsidR="00A0630C">
        <w:rPr>
          <w:bCs/>
          <w:iCs/>
        </w:rPr>
        <w:t xml:space="preserve"> (</w:t>
      </w:r>
      <w:r w:rsidR="00A0630C" w:rsidRPr="002C3A4B">
        <w:rPr>
          <w:bCs/>
          <w:iCs/>
        </w:rPr>
        <w:t>last column of Table 1</w:t>
      </w:r>
      <w:r w:rsidR="00A0630C" w:rsidRPr="00DA5642">
        <w:rPr>
          <w:bCs/>
          <w:iCs/>
        </w:rPr>
        <w:t xml:space="preserve">). </w:t>
      </w:r>
      <w:r w:rsidR="0004265B" w:rsidRPr="00DA5642">
        <w:rPr>
          <w:bCs/>
          <w:iCs/>
        </w:rPr>
        <w:t xml:space="preserve"> </w:t>
      </w:r>
      <w:r w:rsidR="00D33570" w:rsidRPr="00DA5642">
        <w:rPr>
          <w:bCs/>
          <w:iCs/>
        </w:rPr>
        <w:lastRenderedPageBreak/>
        <w:t>Data</w:t>
      </w:r>
      <w:r w:rsidR="00D33570">
        <w:rPr>
          <w:bCs/>
          <w:iCs/>
        </w:rPr>
        <w:t>m</w:t>
      </w:r>
      <w:r w:rsidR="00D33570" w:rsidRPr="00DA5642">
        <w:rPr>
          <w:bCs/>
          <w:iCs/>
        </w:rPr>
        <w:t>onitor</w:t>
      </w:r>
      <w:r w:rsidR="00DA5642" w:rsidRPr="00DA5642">
        <w:rPr>
          <w:bCs/>
          <w:iCs/>
        </w:rPr>
        <w:t xml:space="preserve"> (2001) reports that </w:t>
      </w:r>
      <w:r w:rsidR="00D33570">
        <w:rPr>
          <w:bCs/>
          <w:iCs/>
        </w:rPr>
        <w:t xml:space="preserve">physician </w:t>
      </w:r>
      <w:r w:rsidR="00DA5642" w:rsidRPr="00DA5642">
        <w:rPr>
          <w:kern w:val="0"/>
        </w:rPr>
        <w:t xml:space="preserve">profiling </w:t>
      </w:r>
      <w:r w:rsidR="00D33570">
        <w:rPr>
          <w:kern w:val="0"/>
        </w:rPr>
        <w:t xml:space="preserve">through prescription tracking </w:t>
      </w:r>
      <w:r w:rsidR="00DA5642" w:rsidRPr="00DA5642">
        <w:rPr>
          <w:kern w:val="0"/>
        </w:rPr>
        <w:t>improves profit</w:t>
      </w:r>
      <w:r w:rsidR="00DA5642">
        <w:rPr>
          <w:kern w:val="0"/>
        </w:rPr>
        <w:t xml:space="preserve"> </w:t>
      </w:r>
      <w:r w:rsidR="00DA5642" w:rsidRPr="00DA5642">
        <w:rPr>
          <w:kern w:val="0"/>
        </w:rPr>
        <w:t>margins by as much as 3</w:t>
      </w:r>
      <w:r w:rsidR="00DA5642">
        <w:rPr>
          <w:kern w:val="0"/>
        </w:rPr>
        <w:t xml:space="preserve">% </w:t>
      </w:r>
      <w:r w:rsidR="00DA5642" w:rsidRPr="00DA5642">
        <w:rPr>
          <w:kern w:val="0"/>
        </w:rPr>
        <w:t>and the initial</w:t>
      </w:r>
      <w:r w:rsidR="00DA5642">
        <w:rPr>
          <w:kern w:val="0"/>
        </w:rPr>
        <w:t xml:space="preserve"> </w:t>
      </w:r>
      <w:r w:rsidR="00DA5642" w:rsidRPr="00DA5642">
        <w:rPr>
          <w:kern w:val="0"/>
        </w:rPr>
        <w:t>uptake of innovative drugs by 30%.</w:t>
      </w:r>
      <w:r w:rsidR="00D33570">
        <w:rPr>
          <w:kern w:val="0"/>
        </w:rPr>
        <w:t xml:space="preserve"> Research suggests that profiling dates back to 1940s when the American Medical Association collaborated with pharmaceutical companies to help assemble physician profiles (Greene 2007), </w:t>
      </w:r>
      <w:r w:rsidR="009F66EF">
        <w:rPr>
          <w:kern w:val="0"/>
        </w:rPr>
        <w:t xml:space="preserve">and </w:t>
      </w:r>
      <w:r w:rsidR="00DA5642" w:rsidRPr="00DA5642">
        <w:rPr>
          <w:kern w:val="0"/>
        </w:rPr>
        <w:t>prescri</w:t>
      </w:r>
      <w:r>
        <w:rPr>
          <w:kern w:val="0"/>
        </w:rPr>
        <w:t>ption writing</w:t>
      </w:r>
      <w:r w:rsidR="00DA5642" w:rsidRPr="00DA5642">
        <w:rPr>
          <w:kern w:val="0"/>
        </w:rPr>
        <w:t xml:space="preserve"> data</w:t>
      </w:r>
      <w:r w:rsidR="009F66EF">
        <w:rPr>
          <w:kern w:val="0"/>
        </w:rPr>
        <w:t>,</w:t>
      </w:r>
      <w:r w:rsidR="00DA5642" w:rsidRPr="00DA5642">
        <w:rPr>
          <w:kern w:val="0"/>
        </w:rPr>
        <w:t xml:space="preserve"> </w:t>
      </w:r>
      <w:r w:rsidR="009F66EF">
        <w:rPr>
          <w:kern w:val="0"/>
        </w:rPr>
        <w:t>and making both open to industry access which the latter used to increase</w:t>
      </w:r>
      <w:r w:rsidR="00D33570">
        <w:rPr>
          <w:kern w:val="0"/>
        </w:rPr>
        <w:t xml:space="preserve"> pharmaceutical sales force effectiveness (Grande 2007)</w:t>
      </w:r>
      <w:r w:rsidR="009F66EF">
        <w:rPr>
          <w:kern w:val="0"/>
        </w:rPr>
        <w:t>.</w:t>
      </w:r>
      <w:r w:rsidR="00D33570">
        <w:rPr>
          <w:kern w:val="0"/>
        </w:rPr>
        <w:t xml:space="preserve">  </w:t>
      </w:r>
    </w:p>
    <w:p w:rsidR="00726A29" w:rsidRDefault="007910EE">
      <w:pPr>
        <w:autoSpaceDE w:val="0"/>
        <w:autoSpaceDN w:val="0"/>
        <w:adjustRightInd w:val="0"/>
        <w:spacing w:line="480" w:lineRule="auto"/>
        <w:ind w:firstLine="720"/>
      </w:pPr>
      <w:r w:rsidRPr="007910EE">
        <w:t xml:space="preserve">The </w:t>
      </w:r>
      <w:r w:rsidR="00E83B6E">
        <w:rPr>
          <w:i/>
        </w:rPr>
        <w:t>Evidence-based</w:t>
      </w:r>
      <w:r w:rsidR="00BA45D1" w:rsidRPr="00887E03">
        <w:rPr>
          <w:i/>
        </w:rPr>
        <w:t xml:space="preserve"> strategy</w:t>
      </w:r>
      <w:r w:rsidR="00BA45D1" w:rsidRPr="00BA45D1">
        <w:t xml:space="preserve"> </w:t>
      </w:r>
      <w:r w:rsidR="00887E03">
        <w:t>invol</w:t>
      </w:r>
      <w:r w:rsidR="0034101B">
        <w:t>v</w:t>
      </w:r>
      <w:r w:rsidR="00887E03">
        <w:t>ed</w:t>
      </w:r>
      <w:r w:rsidR="001517AA">
        <w:t xml:space="preserve"> </w:t>
      </w:r>
      <w:r w:rsidR="00A02243">
        <w:t xml:space="preserve">a </w:t>
      </w:r>
      <w:r w:rsidR="001517AA">
        <w:t xml:space="preserve">three pronged </w:t>
      </w:r>
      <w:r w:rsidR="00A02243">
        <w:t xml:space="preserve">approach: </w:t>
      </w:r>
      <w:r w:rsidR="001517AA">
        <w:t>(</w:t>
      </w:r>
      <w:r w:rsidR="009F66EF">
        <w:t>a</w:t>
      </w:r>
      <w:r w:rsidR="001517AA">
        <w:t>) industry funding of clinical trials through research grants; (</w:t>
      </w:r>
      <w:r w:rsidR="009F66EF">
        <w:t>b</w:t>
      </w:r>
      <w:r w:rsidR="001517AA">
        <w:t xml:space="preserve">) </w:t>
      </w:r>
      <w:r w:rsidR="004F6317">
        <w:t xml:space="preserve">generating </w:t>
      </w:r>
      <w:r w:rsidR="00E0167C">
        <w:t xml:space="preserve">publications </w:t>
      </w:r>
      <w:r w:rsidR="004F6317">
        <w:t xml:space="preserve">from clinical trials with a bias for </w:t>
      </w:r>
      <w:r w:rsidR="00E0167C">
        <w:t xml:space="preserve">positive results; and </w:t>
      </w:r>
      <w:r w:rsidR="001517AA">
        <w:t>(</w:t>
      </w:r>
      <w:r w:rsidR="009F66EF">
        <w:t>c</w:t>
      </w:r>
      <w:r w:rsidR="001517AA">
        <w:t xml:space="preserve">) </w:t>
      </w:r>
      <w:r w:rsidR="00E0167C">
        <w:t xml:space="preserve">contractual arrangements with commercial companies to </w:t>
      </w:r>
      <w:r w:rsidR="004F6317">
        <w:t xml:space="preserve">write, process and </w:t>
      </w:r>
      <w:r w:rsidR="00E0167C">
        <w:t>orchestrate publications</w:t>
      </w:r>
      <w:r w:rsidR="004F6317">
        <w:t xml:space="preserve"> in referred journals without explicitly exposing their role</w:t>
      </w:r>
      <w:r w:rsidR="00B45EDD">
        <w:t xml:space="preserve">; </w:t>
      </w:r>
      <w:r w:rsidR="00850F47">
        <w:t>(second</w:t>
      </w:r>
      <w:r w:rsidR="00B45EDD">
        <w:t xml:space="preserve"> row Table 1</w:t>
      </w:r>
      <w:r w:rsidR="00850F47">
        <w:t>; Figure 1</w:t>
      </w:r>
      <w:r w:rsidR="009917BB">
        <w:t>)</w:t>
      </w:r>
      <w:r w:rsidR="001517AA">
        <w:t xml:space="preserve">. </w:t>
      </w:r>
      <w:r w:rsidR="009917BB">
        <w:t xml:space="preserve"> </w:t>
      </w:r>
      <w:r w:rsidR="00F16828">
        <w:t xml:space="preserve">Internal documents noted that </w:t>
      </w:r>
      <w:r w:rsidR="00D04BFF" w:rsidRPr="00D04BFF">
        <w:t>research grants</w:t>
      </w:r>
      <w:r w:rsidR="001517AA">
        <w:t xml:space="preserve"> to physicians </w:t>
      </w:r>
      <w:r w:rsidR="00F16828">
        <w:t xml:space="preserve">were intended to </w:t>
      </w:r>
      <w:r w:rsidR="00346887">
        <w:t xml:space="preserve">encourage clinical trials </w:t>
      </w:r>
      <w:r w:rsidR="00F16828">
        <w:t xml:space="preserve">that </w:t>
      </w:r>
      <w:r w:rsidR="001517AA">
        <w:t xml:space="preserve">induce familiarity with higher doses of Neurontin (exhibit 39). </w:t>
      </w:r>
      <w:r w:rsidR="00850F47">
        <w:t>T</w:t>
      </w:r>
      <w:r w:rsidR="00E0167C">
        <w:t xml:space="preserve">he </w:t>
      </w:r>
      <w:r w:rsidR="00E0167C">
        <w:rPr>
          <w:rFonts w:ascii="TimesNewRomanPSMT" w:hAnsi="TimesNewRomanPSMT" w:cs="TimesNewRomanPSMT"/>
        </w:rPr>
        <w:t xml:space="preserve">objective of the evidence-based strategy was to favor publishing articles with positive findings that </w:t>
      </w:r>
      <w:r w:rsidR="00E0167C">
        <w:t xml:space="preserve">“increase sales” (exhibit 21), and return on investment estimates were explicitly calculated to target disease indications with the greatest revenue potential. </w:t>
      </w:r>
      <w:r w:rsidR="005D49D4">
        <w:t>T</w:t>
      </w:r>
      <w:r w:rsidR="005847FA">
        <w:t xml:space="preserve">he company entered into formal </w:t>
      </w:r>
      <w:r w:rsidR="00E12408" w:rsidRPr="00E12408">
        <w:rPr>
          <w:rFonts w:ascii="TimesNewRomanPSMT" w:hAnsi="TimesNewRomanPSMT" w:cs="TimesNewRomanPSMT"/>
        </w:rPr>
        <w:t>contracts</w:t>
      </w:r>
      <w:r w:rsidR="005847FA" w:rsidRPr="00751000">
        <w:rPr>
          <w:rFonts w:ascii="TimesNewRomanPSMT" w:hAnsi="TimesNewRomanPSMT" w:cs="TimesNewRomanPSMT"/>
          <w:i/>
        </w:rPr>
        <w:t xml:space="preserve"> </w:t>
      </w:r>
      <w:r w:rsidR="005847FA">
        <w:rPr>
          <w:rFonts w:ascii="TimesNewRomanPSMT" w:hAnsi="TimesNewRomanPSMT" w:cs="TimesNewRomanPSMT"/>
        </w:rPr>
        <w:t>with commercial companies</w:t>
      </w:r>
      <w:r w:rsidR="005847FA">
        <w:t xml:space="preserve"> to develop a </w:t>
      </w:r>
      <w:r w:rsidR="00A02243" w:rsidRPr="00BA45D1">
        <w:t xml:space="preserve">coordinated </w:t>
      </w:r>
      <w:r w:rsidR="00A02243">
        <w:t xml:space="preserve">effort </w:t>
      </w:r>
      <w:r w:rsidR="005847FA">
        <w:t>for executing</w:t>
      </w:r>
      <w:r w:rsidR="00A02243">
        <w:t xml:space="preserve"> publications by </w:t>
      </w:r>
      <w:r w:rsidR="00A02243" w:rsidRPr="001517AA">
        <w:rPr>
          <w:rFonts w:ascii="TimesNewRomanPSMT" w:hAnsi="TimesNewRomanPSMT"/>
        </w:rPr>
        <w:t>“life cycle planning” (exhibit 72)</w:t>
      </w:r>
      <w:r w:rsidR="00A02243" w:rsidRPr="001517AA">
        <w:rPr>
          <w:rStyle w:val="FootnoteReference"/>
        </w:rPr>
        <w:t xml:space="preserve"> </w:t>
      </w:r>
      <w:r w:rsidR="00A02243" w:rsidRPr="001517AA">
        <w:rPr>
          <w:rFonts w:ascii="TimesNewRomanPSMT" w:hAnsi="TimesNewRomanPSMT"/>
        </w:rPr>
        <w:t>that involved a time-based program of seque</w:t>
      </w:r>
      <w:r w:rsidR="00A02243">
        <w:rPr>
          <w:rFonts w:ascii="TimesNewRomanPSMT" w:hAnsi="TimesNewRomanPSMT"/>
        </w:rPr>
        <w:t xml:space="preserve">ntially publishing </w:t>
      </w:r>
      <w:r w:rsidR="005847FA">
        <w:rPr>
          <w:rFonts w:ascii="TimesNewRomanPSMT" w:hAnsi="TimesNewRomanPSMT"/>
        </w:rPr>
        <w:t xml:space="preserve">scientific articles </w:t>
      </w:r>
      <w:r w:rsidR="00A02243">
        <w:rPr>
          <w:rFonts w:ascii="TimesNewRomanPSMT" w:hAnsi="TimesNewRomanPSMT"/>
        </w:rPr>
        <w:t xml:space="preserve">in </w:t>
      </w:r>
      <w:r w:rsidR="00A02243" w:rsidRPr="001517AA">
        <w:rPr>
          <w:rFonts w:ascii="TimesNewRomanPSMT" w:hAnsi="TimesNewRomanPSMT"/>
        </w:rPr>
        <w:t>peer-reviewed journals</w:t>
      </w:r>
      <w:r w:rsidR="00A02243">
        <w:rPr>
          <w:rFonts w:ascii="TimesNewRomanPSMT" w:hAnsi="TimesNewRomanPSMT"/>
        </w:rPr>
        <w:t xml:space="preserve"> </w:t>
      </w:r>
      <w:r w:rsidR="00A02243" w:rsidRPr="00BA45D1">
        <w:t>(exhibit 57)</w:t>
      </w:r>
      <w:r w:rsidR="00D949B9">
        <w:t xml:space="preserve"> in order to create a “drumbeat in the literature,” (Exhibit 63</w:t>
      </w:r>
      <w:r w:rsidR="00734EDF">
        <w:t xml:space="preserve">; </w:t>
      </w:r>
      <w:r w:rsidR="001517AA">
        <w:t>Table 1).</w:t>
      </w:r>
      <w:r w:rsidR="001517AA" w:rsidRPr="00B17934">
        <w:rPr>
          <w:rFonts w:ascii="TimesNewRomanPSMT" w:hAnsi="TimesNewRomanPSMT" w:cs="TimesNewRomanPSMT"/>
        </w:rPr>
        <w:t xml:space="preserve"> </w:t>
      </w:r>
      <w:r w:rsidR="006F5DA4">
        <w:rPr>
          <w:rFonts w:ascii="TimesNewRomanPSMT" w:hAnsi="TimesNewRomanPSMT" w:cs="TimesNewRomanPSMT"/>
        </w:rPr>
        <w:t xml:space="preserve"> </w:t>
      </w:r>
      <w:r w:rsidR="00E0167C">
        <w:rPr>
          <w:rFonts w:ascii="TimesNewRomanPSMT" w:hAnsi="TimesNewRomanPSMT" w:cs="TimesNewRomanPSMT"/>
        </w:rPr>
        <w:t xml:space="preserve">Company managers routinely tracked the status of manuscripts </w:t>
      </w:r>
      <w:r w:rsidR="004F6317">
        <w:rPr>
          <w:rFonts w:ascii="TimesNewRomanPSMT" w:hAnsi="TimesNewRomanPSMT" w:cs="TimesNewRomanPSMT"/>
        </w:rPr>
        <w:t>processed for</w:t>
      </w:r>
      <w:r w:rsidR="00E0167C">
        <w:rPr>
          <w:rFonts w:ascii="TimesNewRomanPSMT" w:hAnsi="TimesNewRomanPSMT" w:cs="TimesNewRomanPSMT"/>
        </w:rPr>
        <w:t xml:space="preserve"> publication </w:t>
      </w:r>
      <w:r w:rsidR="004F6317">
        <w:rPr>
          <w:rFonts w:ascii="TimesNewRomanPSMT" w:hAnsi="TimesNewRomanPSMT" w:cs="TimesNewRomanPSMT"/>
        </w:rPr>
        <w:t xml:space="preserve">by contract companies </w:t>
      </w:r>
      <w:r w:rsidR="00E0167C">
        <w:rPr>
          <w:rFonts w:ascii="TimesNewRomanPSMT" w:hAnsi="TimesNewRomanPSMT" w:cs="TimesNewRomanPSMT"/>
        </w:rPr>
        <w:t>to coordinate their promotional efforts</w:t>
      </w:r>
      <w:r w:rsidR="004F6317">
        <w:rPr>
          <w:rFonts w:ascii="TimesNewRomanPSMT" w:hAnsi="TimesNewRomanPSMT" w:cs="TimesNewRomanPSMT"/>
        </w:rPr>
        <w:t xml:space="preserve">, as they also reviewed problems </w:t>
      </w:r>
      <w:r w:rsidR="00CB4F87">
        <w:rPr>
          <w:rFonts w:ascii="TimesNewRomanPSMT" w:hAnsi="TimesNewRomanPSMT" w:cs="TimesNewRomanPSMT"/>
        </w:rPr>
        <w:t xml:space="preserve">in keeping the publications on track. </w:t>
      </w:r>
      <w:r w:rsidR="00E0167C">
        <w:rPr>
          <w:rFonts w:ascii="TimesNewRomanPSMT" w:hAnsi="TimesNewRomanPSMT" w:cs="TimesNewRomanPSMT"/>
        </w:rPr>
        <w:t xml:space="preserve">For instance, </w:t>
      </w:r>
      <w:r w:rsidR="00EE73C8">
        <w:t xml:space="preserve">AMM Adelphi, a </w:t>
      </w:r>
      <w:r w:rsidR="004F6317">
        <w:t>c</w:t>
      </w:r>
      <w:r w:rsidR="00EE73C8">
        <w:t xml:space="preserve">ommercial provider </w:t>
      </w:r>
      <w:r w:rsidR="004F6317">
        <w:t xml:space="preserve">contracted for evidence based strategy, reported </w:t>
      </w:r>
      <w:r w:rsidR="00EE73C8">
        <w:t xml:space="preserve">to </w:t>
      </w:r>
      <w:r w:rsidR="004F6317">
        <w:t xml:space="preserve">a </w:t>
      </w:r>
      <w:r w:rsidR="00EE73C8">
        <w:t>Parke Davis</w:t>
      </w:r>
      <w:r w:rsidR="004F6317">
        <w:t xml:space="preserve"> manager as follows:</w:t>
      </w:r>
    </w:p>
    <w:p w:rsidR="0069014D" w:rsidRDefault="00CB4F87" w:rsidP="001C496F">
      <w:pPr>
        <w:autoSpaceDE w:val="0"/>
        <w:autoSpaceDN w:val="0"/>
        <w:adjustRightInd w:val="0"/>
        <w:spacing w:after="240"/>
        <w:rPr>
          <w:i/>
          <w:u w:val="single"/>
        </w:rPr>
      </w:pPr>
      <w:r>
        <w:rPr>
          <w:i/>
          <w:kern w:val="0"/>
        </w:rPr>
        <w:t>“</w:t>
      </w:r>
      <w:r w:rsidR="00734EDF">
        <w:rPr>
          <w:i/>
          <w:kern w:val="0"/>
        </w:rPr>
        <w:t>…</w:t>
      </w:r>
      <w:r w:rsidR="00BC0946" w:rsidRPr="00EE73C8">
        <w:rPr>
          <w:i/>
          <w:kern w:val="0"/>
        </w:rPr>
        <w:t xml:space="preserve"> these physicians </w:t>
      </w:r>
      <w:r w:rsidR="004F6317">
        <w:rPr>
          <w:i/>
          <w:kern w:val="0"/>
        </w:rPr>
        <w:t xml:space="preserve">[designated authors] </w:t>
      </w:r>
      <w:r w:rsidR="00BC0946" w:rsidRPr="00EE73C8">
        <w:rPr>
          <w:i/>
          <w:kern w:val="0"/>
        </w:rPr>
        <w:t>are clinicians rather than academicians or</w:t>
      </w:r>
      <w:r w:rsidR="00EE73C8" w:rsidRPr="00EE73C8">
        <w:rPr>
          <w:i/>
          <w:kern w:val="0"/>
        </w:rPr>
        <w:t xml:space="preserve"> </w:t>
      </w:r>
      <w:r w:rsidR="00BC0946" w:rsidRPr="00EE73C8">
        <w:rPr>
          <w:i/>
          <w:kern w:val="0"/>
        </w:rPr>
        <w:t>researchers, making them less acc</w:t>
      </w:r>
      <w:r w:rsidR="00EE73C8" w:rsidRPr="00EE73C8">
        <w:rPr>
          <w:i/>
          <w:kern w:val="0"/>
        </w:rPr>
        <w:t>essible than scientific authors</w:t>
      </w:r>
      <w:r w:rsidR="00BC0946" w:rsidRPr="00EE73C8">
        <w:rPr>
          <w:i/>
          <w:kern w:val="0"/>
        </w:rPr>
        <w:t>. Thus, these papers require more</w:t>
      </w:r>
      <w:r w:rsidR="00EE73C8" w:rsidRPr="00EE73C8">
        <w:rPr>
          <w:i/>
          <w:kern w:val="0"/>
        </w:rPr>
        <w:t xml:space="preserve"> </w:t>
      </w:r>
      <w:r w:rsidR="00BC0946" w:rsidRPr="00EE73C8">
        <w:rPr>
          <w:i/>
          <w:kern w:val="0"/>
        </w:rPr>
        <w:t>ti</w:t>
      </w:r>
      <w:r>
        <w:rPr>
          <w:i/>
          <w:kern w:val="0"/>
        </w:rPr>
        <w:t>me and management than is usual…</w:t>
      </w:r>
      <w:r w:rsidR="00BC0946" w:rsidRPr="00EE73C8">
        <w:rPr>
          <w:i/>
          <w:kern w:val="0"/>
        </w:rPr>
        <w:t xml:space="preserve"> </w:t>
      </w:r>
      <w:r w:rsidR="00EE73C8" w:rsidRPr="00EE73C8">
        <w:rPr>
          <w:i/>
          <w:kern w:val="0"/>
        </w:rPr>
        <w:t>We anticipate that by year's end, you will have several manuscripts submitted to journals as well as either a paper</w:t>
      </w:r>
      <w:r>
        <w:rPr>
          <w:i/>
          <w:kern w:val="0"/>
        </w:rPr>
        <w:t xml:space="preserve"> or poster accepted for the AAN</w:t>
      </w:r>
      <w:r w:rsidR="009E585B">
        <w:rPr>
          <w:i/>
          <w:kern w:val="0"/>
        </w:rPr>
        <w:t>,</w:t>
      </w:r>
      <w:r w:rsidR="005509D6">
        <w:rPr>
          <w:i/>
          <w:kern w:val="0"/>
        </w:rPr>
        <w:t>”</w:t>
      </w:r>
      <w:r>
        <w:rPr>
          <w:i/>
          <w:kern w:val="0"/>
        </w:rPr>
        <w:t xml:space="preserve"> </w:t>
      </w:r>
      <w:r w:rsidR="00E45898" w:rsidRPr="00E45898">
        <w:rPr>
          <w:kern w:val="0"/>
        </w:rPr>
        <w:t>(Exhibit 64).</w:t>
      </w:r>
    </w:p>
    <w:p w:rsidR="006554DA" w:rsidRDefault="006554DA" w:rsidP="007970BD">
      <w:pPr>
        <w:pStyle w:val="StyleLinespacingDouble"/>
      </w:pPr>
      <w:r>
        <w:rPr>
          <w:rFonts w:ascii="TimesNewRomanPSMT" w:hAnsi="TimesNewRomanPSMT" w:cs="TimesNewRomanPSMT"/>
        </w:rPr>
        <w:lastRenderedPageBreak/>
        <w:t xml:space="preserve">Parke-Davis internal documents reveal that the company </w:t>
      </w:r>
      <w:r>
        <w:t>contracted with Medical Education Systems Inc. to ghost write articles (</w:t>
      </w:r>
      <w:r>
        <w:rPr>
          <w:rFonts w:ascii="TimesNewRomanPSMT" w:hAnsi="TimesNewRomanPSMT" w:cs="TimesNewRomanPSMT"/>
        </w:rPr>
        <w:t xml:space="preserve">e.g., failure to include an individual as author who has made substantial contributions to research or writing of the manuscript) </w:t>
      </w:r>
      <w:r>
        <w:t>for $13,375 to $18,000 per article and to</w:t>
      </w:r>
      <w:r w:rsidRPr="00117342">
        <w:t xml:space="preserve"> </w:t>
      </w:r>
      <w:r>
        <w:t xml:space="preserve">include </w:t>
      </w:r>
      <w:r w:rsidRPr="00117342">
        <w:t xml:space="preserve">physicians </w:t>
      </w:r>
      <w:r>
        <w:t xml:space="preserve">as guest authors </w:t>
      </w:r>
      <w:r>
        <w:rPr>
          <w:rFonts w:ascii="TimesNewRomanPSMT" w:hAnsi="TimesNewRomanPSMT" w:cs="TimesNewRomanPSMT"/>
        </w:rPr>
        <w:t xml:space="preserve">(e.g., include an individual as author who does not meet authorship criteria) </w:t>
      </w:r>
      <w:r>
        <w:t>for an honorarium of $1000 (Table 1).</w:t>
      </w:r>
    </w:p>
    <w:p w:rsidR="007970BD" w:rsidRPr="007970BD" w:rsidRDefault="00A0630C" w:rsidP="007970BD">
      <w:pPr>
        <w:pStyle w:val="StyleLinespacingDouble"/>
        <w:rPr>
          <w:rFonts w:ascii="TimesNewRomanPSMT" w:hAnsi="TimesNewRomanPSMT" w:cs="TimesNewRomanPSMT"/>
        </w:rPr>
      </w:pPr>
      <w:r>
        <w:rPr>
          <w:bCs/>
          <w:iCs/>
        </w:rPr>
        <w:t>Our secondary data reveal</w:t>
      </w:r>
      <w:r w:rsidR="001F72D1">
        <w:rPr>
          <w:bCs/>
          <w:iCs/>
        </w:rPr>
        <w:t>s</w:t>
      </w:r>
      <w:r>
        <w:rPr>
          <w:bCs/>
          <w:iCs/>
        </w:rPr>
        <w:t xml:space="preserve"> that</w:t>
      </w:r>
      <w:r w:rsidR="007970BD" w:rsidRPr="002C3A4B">
        <w:rPr>
          <w:bCs/>
          <w:iCs/>
        </w:rPr>
        <w:t xml:space="preserve"> s</w:t>
      </w:r>
      <w:r w:rsidR="007970BD" w:rsidRPr="003C7C4E">
        <w:rPr>
          <w:rFonts w:ascii="TimesNewRomanPSMT" w:hAnsi="TimesNewRomanPSMT" w:cs="TimesNewRomanPSMT"/>
          <w:bCs/>
          <w:iCs/>
        </w:rPr>
        <w:t xml:space="preserve">everal companies including Scientific Therapeutics Information and Health Sciences Communication openly </w:t>
      </w:r>
      <w:r w:rsidR="00314762">
        <w:rPr>
          <w:rFonts w:ascii="TimesNewRomanPSMT" w:hAnsi="TimesNewRomanPSMT" w:cs="TimesNewRomanPSMT"/>
          <w:bCs/>
          <w:iCs/>
        </w:rPr>
        <w:t xml:space="preserve">advertise </w:t>
      </w:r>
      <w:r w:rsidR="007970BD" w:rsidRPr="003C7C4E">
        <w:rPr>
          <w:rFonts w:ascii="TimesNewRomanPSMT" w:hAnsi="TimesNewRomanPSMT" w:cs="TimesNewRomanPSMT"/>
          <w:bCs/>
          <w:iCs/>
        </w:rPr>
        <w:t>their commercial intent to contract for publishing scientific articles for the pharmaceutical industry. Moreover, in the recent VIOXX litigation, Psaty and Kronmal (2008) found evidence that the mortality rates reported by Merck to FDA indicated non-significa</w:t>
      </w:r>
      <w:r w:rsidR="007970BD">
        <w:rPr>
          <w:rFonts w:ascii="TimesNewRomanPSMT" w:hAnsi="TimesNewRomanPSMT" w:cs="TimesNewRomanPSMT"/>
        </w:rPr>
        <w:t xml:space="preserve">nt differences, while actual mortality rates from internal documents were highly significant (HR = 2.13, p &lt; .001).  Likewise, Turner et al. (2008) found that, while 97% of the 38 clinical trials for 12 antidepressant agents with positive findings were published, only 39% of the 36 trials with negative or questionable findings were published. Similarly, </w:t>
      </w:r>
      <w:r w:rsidR="00314762">
        <w:t>g</w:t>
      </w:r>
      <w:r w:rsidR="00314762">
        <w:rPr>
          <w:rFonts w:ascii="TimesNewRomanPSMT" w:hAnsi="TimesNewRomanPSMT" w:cs="TimesNewRomanPSMT"/>
        </w:rPr>
        <w:t xml:space="preserve">host writing </w:t>
      </w:r>
      <w:r w:rsidR="006554DA">
        <w:rPr>
          <w:rFonts w:ascii="TimesNewRomanPSMT" w:hAnsi="TimesNewRomanPSMT" w:cs="TimesNewRomanPSMT"/>
        </w:rPr>
        <w:t>and</w:t>
      </w:r>
      <w:r w:rsidR="00314762">
        <w:rPr>
          <w:rFonts w:ascii="TimesNewRomanPSMT" w:hAnsi="TimesNewRomanPSMT" w:cs="TimesNewRomanPSMT"/>
        </w:rPr>
        <w:t xml:space="preserve"> guest authorship in peer-reviewed journals  remains a common practice (Ross et al. 2008)</w:t>
      </w:r>
      <w:r w:rsidR="007970BD">
        <w:rPr>
          <w:rFonts w:ascii="TimesNewRomanPSMT" w:hAnsi="TimesNewRomanPSMT" w:cs="TimesNewRomanPSMT"/>
        </w:rPr>
        <w:t xml:space="preserve">. In a recent survey of six peer reviewed medical journals, ghost writing was demonstrated in 13% of research articles, 10% of review articles, 6% of editorials, and 11% of Cochrane reviews. Guest authorship was even more prevalent, and found in 16% of research articles, 26% of review articles, 21% of editorials, and 41% of Cochrane reviews (Flanagin et al. 1998; Mowatt et al. 2002). </w:t>
      </w:r>
    </w:p>
    <w:p w:rsidR="00501E08" w:rsidRDefault="007910EE" w:rsidP="00CB4F87">
      <w:pPr>
        <w:pStyle w:val="StyleLinespacingDouble"/>
      </w:pPr>
      <w:r w:rsidRPr="007910EE">
        <w:t xml:space="preserve">The </w:t>
      </w:r>
      <w:r w:rsidR="00E83B6E">
        <w:rPr>
          <w:i/>
        </w:rPr>
        <w:t>Medical education</w:t>
      </w:r>
      <w:r w:rsidR="00BA45D1" w:rsidRPr="00ED2928">
        <w:rPr>
          <w:i/>
        </w:rPr>
        <w:t xml:space="preserve"> strategy</w:t>
      </w:r>
      <w:r w:rsidR="001F2AF2">
        <w:t xml:space="preserve"> </w:t>
      </w:r>
      <w:r w:rsidR="004F6317">
        <w:t xml:space="preserve">involved: </w:t>
      </w:r>
      <w:r w:rsidR="00A17FAD">
        <w:rPr>
          <w:bCs/>
          <w:iCs/>
        </w:rPr>
        <w:t>(</w:t>
      </w:r>
      <w:r w:rsidR="006554DA">
        <w:rPr>
          <w:bCs/>
          <w:iCs/>
        </w:rPr>
        <w:t>a</w:t>
      </w:r>
      <w:r w:rsidR="00A17FAD">
        <w:rPr>
          <w:bCs/>
          <w:iCs/>
        </w:rPr>
        <w:t xml:space="preserve">) shaping standards of care; </w:t>
      </w:r>
      <w:r w:rsidR="00CB4F87">
        <w:rPr>
          <w:bCs/>
          <w:iCs/>
        </w:rPr>
        <w:t>(</w:t>
      </w:r>
      <w:r w:rsidR="006554DA">
        <w:rPr>
          <w:bCs/>
          <w:iCs/>
        </w:rPr>
        <w:t>b</w:t>
      </w:r>
      <w:r w:rsidR="00CB4F87">
        <w:rPr>
          <w:bCs/>
          <w:iCs/>
        </w:rPr>
        <w:t xml:space="preserve">) </w:t>
      </w:r>
      <w:r w:rsidR="00A17FAD">
        <w:rPr>
          <w:bCs/>
          <w:iCs/>
        </w:rPr>
        <w:t>actively managing a Speakers’ bureau</w:t>
      </w:r>
      <w:r w:rsidR="00CB4F87">
        <w:rPr>
          <w:bCs/>
          <w:iCs/>
        </w:rPr>
        <w:t>;</w:t>
      </w:r>
      <w:r w:rsidR="001F2AF2">
        <w:rPr>
          <w:bCs/>
          <w:iCs/>
        </w:rPr>
        <w:t xml:space="preserve"> </w:t>
      </w:r>
      <w:r w:rsidR="00CB4F87">
        <w:rPr>
          <w:bCs/>
          <w:iCs/>
        </w:rPr>
        <w:t>and (</w:t>
      </w:r>
      <w:r w:rsidR="006554DA">
        <w:rPr>
          <w:bCs/>
          <w:iCs/>
        </w:rPr>
        <w:t>c</w:t>
      </w:r>
      <w:r w:rsidR="00CB4F87">
        <w:rPr>
          <w:bCs/>
          <w:iCs/>
        </w:rPr>
        <w:t>) contracting with medical education companies provid</w:t>
      </w:r>
      <w:r w:rsidR="004F6317">
        <w:rPr>
          <w:bCs/>
          <w:iCs/>
        </w:rPr>
        <w:t>ing</w:t>
      </w:r>
      <w:r w:rsidR="00CB4F87">
        <w:rPr>
          <w:bCs/>
          <w:iCs/>
        </w:rPr>
        <w:t xml:space="preserve"> </w:t>
      </w:r>
      <w:r w:rsidR="004F6317">
        <w:rPr>
          <w:bCs/>
          <w:iCs/>
        </w:rPr>
        <w:t xml:space="preserve">continuing medical education (CME) </w:t>
      </w:r>
      <w:r w:rsidR="00CB4F87">
        <w:rPr>
          <w:bCs/>
          <w:iCs/>
        </w:rPr>
        <w:t xml:space="preserve">to physicians </w:t>
      </w:r>
      <w:r w:rsidR="001F2AF2">
        <w:rPr>
          <w:bCs/>
          <w:iCs/>
        </w:rPr>
        <w:t>(</w:t>
      </w:r>
      <w:r w:rsidR="009E585B">
        <w:rPr>
          <w:bCs/>
          <w:iCs/>
        </w:rPr>
        <w:t>third</w:t>
      </w:r>
      <w:r w:rsidR="00B45EDD">
        <w:rPr>
          <w:bCs/>
          <w:iCs/>
        </w:rPr>
        <w:t xml:space="preserve"> row Table 1; </w:t>
      </w:r>
      <w:r w:rsidR="001F2AF2">
        <w:rPr>
          <w:bCs/>
          <w:iCs/>
        </w:rPr>
        <w:t>Figure 1)</w:t>
      </w:r>
      <w:r w:rsidR="00A17FAD">
        <w:rPr>
          <w:bCs/>
          <w:iCs/>
        </w:rPr>
        <w:t xml:space="preserve">. </w:t>
      </w:r>
      <w:r w:rsidR="00CB4F87">
        <w:t xml:space="preserve">Parke-Davis marketing efforts focused on influencing </w:t>
      </w:r>
      <w:r w:rsidR="00CB4F87" w:rsidRPr="00845078">
        <w:t>standards of care</w:t>
      </w:r>
      <w:r w:rsidR="00CB4F87">
        <w:t xml:space="preserve"> </w:t>
      </w:r>
      <w:r w:rsidR="009E585B">
        <w:t xml:space="preserve">to position Neurontin as a first choice in treatment regimens. This goal was achieved through </w:t>
      </w:r>
      <w:r w:rsidR="00754CDD">
        <w:t xml:space="preserve">scheduling presentations by influential thought leaders who are favorable to Neurontin at various CME events. </w:t>
      </w:r>
      <w:r w:rsidR="00E247CF" w:rsidRPr="00117342">
        <w:t xml:space="preserve">In some instances, Parke-Davis paid physicians to attend </w:t>
      </w:r>
      <w:r w:rsidR="00E247CF">
        <w:t xml:space="preserve">these events, </w:t>
      </w:r>
      <w:r w:rsidR="00E247CF" w:rsidRPr="00117342">
        <w:t xml:space="preserve">act as part of the audience, and plant leading </w:t>
      </w:r>
      <w:r w:rsidR="00E247CF" w:rsidRPr="00117342">
        <w:lastRenderedPageBreak/>
        <w:t xml:space="preserve">questions intended to portray </w:t>
      </w:r>
      <w:r w:rsidR="00E247CF">
        <w:t xml:space="preserve">Neurontin </w:t>
      </w:r>
      <w:r w:rsidR="00E247CF" w:rsidRPr="00117342">
        <w:t>in a positive light</w:t>
      </w:r>
      <w:r w:rsidR="00E247CF">
        <w:t xml:space="preserve"> (</w:t>
      </w:r>
      <w:r w:rsidR="00E247CF" w:rsidRPr="00117342">
        <w:t>exhibit 79).</w:t>
      </w:r>
      <w:r w:rsidR="00E247CF">
        <w:t xml:space="preserve"> </w:t>
      </w:r>
      <w:r w:rsidR="00472EA4">
        <w:t xml:space="preserve">Parke Davis managed a </w:t>
      </w:r>
      <w:r w:rsidR="00CB4F87" w:rsidRPr="00845078">
        <w:t>Speakers Bureau</w:t>
      </w:r>
      <w:r w:rsidR="00472EA4">
        <w:t xml:space="preserve">, </w:t>
      </w:r>
      <w:r w:rsidR="00CB4F87">
        <w:t xml:space="preserve">a data base of key influencers and thought leaders who </w:t>
      </w:r>
      <w:r w:rsidR="00472EA4">
        <w:t>we</w:t>
      </w:r>
      <w:r w:rsidR="00CB4F87">
        <w:t>re paid to present at educational symposia. Parke-Davis encouraged sales representatives to “identify and train strong Neurontin advocates and users to speak locally for Neurontin,” (exhibit 19).</w:t>
      </w:r>
      <w:r w:rsidR="00CB4F87" w:rsidRPr="00714A20">
        <w:t xml:space="preserve"> </w:t>
      </w:r>
      <w:r w:rsidR="00A17FAD">
        <w:t xml:space="preserve">Our review of Parke-Davis’ documents suggests that the company granted unrestricted educational grants to </w:t>
      </w:r>
      <w:r w:rsidR="00A17FAD" w:rsidRPr="00BE570F">
        <w:t>medical education companies</w:t>
      </w:r>
      <w:r w:rsidR="004F6317">
        <w:t xml:space="preserve"> ostensibly </w:t>
      </w:r>
      <w:r w:rsidR="00A17FAD">
        <w:t xml:space="preserve">for educational </w:t>
      </w:r>
      <w:r w:rsidR="004F6317">
        <w:t xml:space="preserve">purposes; however, </w:t>
      </w:r>
      <w:r w:rsidR="00A17FAD">
        <w:t xml:space="preserve">company managers provided input in </w:t>
      </w:r>
      <w:r w:rsidR="00A17FAD" w:rsidRPr="00117342">
        <w:t>shaping conference content</w:t>
      </w:r>
      <w:r w:rsidR="00A17FAD">
        <w:t xml:space="preserve">, suggesting thought leaders as speakers, and in </w:t>
      </w:r>
      <w:r w:rsidR="00A17FAD" w:rsidRPr="00117342">
        <w:t>track</w:t>
      </w:r>
      <w:r w:rsidR="00A17FAD">
        <w:t>ing</w:t>
      </w:r>
      <w:r w:rsidR="00A17FAD" w:rsidRPr="00117342">
        <w:t xml:space="preserve"> participating physicians’ pre- and post-seminar prescribing behavior</w:t>
      </w:r>
      <w:r w:rsidR="00A17FAD">
        <w:t xml:space="preserve">. </w:t>
      </w:r>
      <w:r w:rsidR="003227B6">
        <w:t>T</w:t>
      </w:r>
      <w:r w:rsidR="00726A29">
        <w:t>erritory manager</w:t>
      </w:r>
      <w:r w:rsidR="003227B6">
        <w:t>s evaluated unrestricted educational grant</w:t>
      </w:r>
      <w:r w:rsidR="00D62819">
        <w:t xml:space="preserve"> proposal</w:t>
      </w:r>
      <w:r w:rsidR="00EE215C">
        <w:t>s</w:t>
      </w:r>
      <w:r w:rsidR="00D62819">
        <w:t xml:space="preserve"> </w:t>
      </w:r>
      <w:r w:rsidR="003227B6">
        <w:t>as illustrated below</w:t>
      </w:r>
      <w:r w:rsidR="004F6317">
        <w:t>:</w:t>
      </w:r>
      <w:r w:rsidR="00ED2928">
        <w:t xml:space="preserve"> </w:t>
      </w:r>
    </w:p>
    <w:p w:rsidR="007910EE" w:rsidRDefault="007A6F30" w:rsidP="001C496F">
      <w:pPr>
        <w:autoSpaceDE w:val="0"/>
        <w:autoSpaceDN w:val="0"/>
        <w:adjustRightInd w:val="0"/>
        <w:spacing w:after="240"/>
      </w:pPr>
      <w:r>
        <w:rPr>
          <w:i/>
          <w:kern w:val="0"/>
        </w:rPr>
        <w:t>“</w:t>
      </w:r>
      <w:r w:rsidR="00EE73C8" w:rsidRPr="00C401E9">
        <w:rPr>
          <w:i/>
          <w:kern w:val="0"/>
        </w:rPr>
        <w:t>I am forwarding two budget proposals</w:t>
      </w:r>
      <w:r w:rsidR="009E585B">
        <w:rPr>
          <w:i/>
          <w:kern w:val="0"/>
        </w:rPr>
        <w:t>…</w:t>
      </w:r>
      <w:r w:rsidR="00C401E9">
        <w:rPr>
          <w:i/>
          <w:kern w:val="0"/>
        </w:rPr>
        <w:t xml:space="preserve"> </w:t>
      </w:r>
      <w:r w:rsidR="00EE73C8" w:rsidRPr="00C401E9">
        <w:rPr>
          <w:i/>
          <w:kern w:val="0"/>
        </w:rPr>
        <w:t>One is the satellite symposium alone and one includes a</w:t>
      </w:r>
      <w:r w:rsidR="00C401E9">
        <w:rPr>
          <w:i/>
          <w:kern w:val="0"/>
        </w:rPr>
        <w:t xml:space="preserve"> </w:t>
      </w:r>
      <w:r w:rsidR="00EE73C8" w:rsidRPr="00C401E9">
        <w:rPr>
          <w:i/>
          <w:kern w:val="0"/>
        </w:rPr>
        <w:t>highlights</w:t>
      </w:r>
      <w:r w:rsidR="00A138B0">
        <w:rPr>
          <w:i/>
          <w:kern w:val="0"/>
        </w:rPr>
        <w:t xml:space="preserve"> </w:t>
      </w:r>
      <w:r w:rsidR="00EE73C8" w:rsidRPr="00C401E9">
        <w:rPr>
          <w:i/>
          <w:kern w:val="0"/>
        </w:rPr>
        <w:t>proceedings</w:t>
      </w:r>
      <w:r w:rsidR="009E585B">
        <w:rPr>
          <w:i/>
          <w:kern w:val="0"/>
        </w:rPr>
        <w:t>..</w:t>
      </w:r>
      <w:r w:rsidR="00EE73C8" w:rsidRPr="00C401E9">
        <w:rPr>
          <w:i/>
          <w:kern w:val="0"/>
        </w:rPr>
        <w:t xml:space="preserve"> with</w:t>
      </w:r>
      <w:r w:rsidR="00C401E9">
        <w:rPr>
          <w:i/>
          <w:kern w:val="0"/>
        </w:rPr>
        <w:t xml:space="preserve"> </w:t>
      </w:r>
      <w:r w:rsidR="00EE73C8" w:rsidRPr="00C401E9">
        <w:rPr>
          <w:i/>
          <w:kern w:val="0"/>
        </w:rPr>
        <w:t>the</w:t>
      </w:r>
      <w:r w:rsidR="00C401E9">
        <w:rPr>
          <w:i/>
          <w:kern w:val="0"/>
        </w:rPr>
        <w:t xml:space="preserve"> </w:t>
      </w:r>
      <w:r w:rsidR="00EE73C8" w:rsidRPr="00C401E9">
        <w:rPr>
          <w:i/>
          <w:kern w:val="0"/>
        </w:rPr>
        <w:t>satellite. Please review</w:t>
      </w:r>
      <w:r w:rsidR="009E585B">
        <w:rPr>
          <w:i/>
          <w:kern w:val="0"/>
        </w:rPr>
        <w:t>..</w:t>
      </w:r>
      <w:r w:rsidR="00EE73C8" w:rsidRPr="00C401E9">
        <w:rPr>
          <w:i/>
          <w:kern w:val="0"/>
        </w:rPr>
        <w:t xml:space="preserve"> so</w:t>
      </w:r>
      <w:r w:rsidR="00C401E9">
        <w:rPr>
          <w:i/>
          <w:kern w:val="0"/>
        </w:rPr>
        <w:t xml:space="preserve"> </w:t>
      </w:r>
      <w:r w:rsidR="00EE73C8" w:rsidRPr="00C401E9">
        <w:rPr>
          <w:i/>
          <w:kern w:val="0"/>
        </w:rPr>
        <w:t>that we can move forward with the grant request through Dannemiller</w:t>
      </w:r>
      <w:r w:rsidR="003E7C8E">
        <w:rPr>
          <w:i/>
          <w:kern w:val="0"/>
        </w:rPr>
        <w:t>[commercial provider]</w:t>
      </w:r>
      <w:r w:rsidR="009E585B">
        <w:rPr>
          <w:i/>
          <w:kern w:val="0"/>
        </w:rPr>
        <w:t>,</w:t>
      </w:r>
      <w:r>
        <w:rPr>
          <w:i/>
          <w:kern w:val="0"/>
        </w:rPr>
        <w:t>”</w:t>
      </w:r>
      <w:r w:rsidR="00EE73C8" w:rsidRPr="00C401E9">
        <w:rPr>
          <w:i/>
          <w:kern w:val="0"/>
        </w:rPr>
        <w:t xml:space="preserve"> </w:t>
      </w:r>
      <w:r w:rsidR="00516AD7" w:rsidRPr="00516AD7">
        <w:rPr>
          <w:kern w:val="0"/>
        </w:rPr>
        <w:t>(</w:t>
      </w:r>
      <w:r>
        <w:t>Exhibit D).</w:t>
      </w:r>
    </w:p>
    <w:p w:rsidR="007970BD" w:rsidRDefault="007970BD" w:rsidP="007970BD">
      <w:pPr>
        <w:pStyle w:val="StyleLinespacingDouble"/>
      </w:pPr>
      <w:r>
        <w:t>Similar examples of industry efforts to leverage physician education efforts for consequential gains abound</w:t>
      </w:r>
      <w:r w:rsidR="00931241">
        <w:t xml:space="preserve"> in medical literature</w:t>
      </w:r>
      <w:r w:rsidR="006554DA">
        <w:t xml:space="preserve"> (Table 1)</w:t>
      </w:r>
      <w:r>
        <w:t xml:space="preserve">. For instance, studies show that industry sponsored CME programs “preferentially highlighted” the sponsors’ drugs and positively affected physician prescription habits after attendance (Bowman and Pearle 1988; Wazana 2000; Relman 2001). Drug companies provided 65% of total revenue of CME programs organized by commercial providers, </w:t>
      </w:r>
      <w:r w:rsidR="00C758F5">
        <w:t xml:space="preserve">providing a </w:t>
      </w:r>
      <w:r>
        <w:t xml:space="preserve">financial incentive to create educational programs </w:t>
      </w:r>
      <w:r w:rsidR="00C758F5">
        <w:t xml:space="preserve">that </w:t>
      </w:r>
      <w:r>
        <w:t xml:space="preserve">cast </w:t>
      </w:r>
      <w:r w:rsidR="00C758F5">
        <w:t xml:space="preserve">a favorable light on </w:t>
      </w:r>
      <w:r>
        <w:t xml:space="preserve">the companies’ products (Steinman and Baron 2007). Choudhry, Stelfox and Detsky (2002) found that 59% of authors responsible for updating or developing clinical practice guidelines had financial relationships with companies whose products they considered or included in the guidelines. </w:t>
      </w:r>
    </w:p>
    <w:p w:rsidR="00281642" w:rsidRDefault="009E585B" w:rsidP="00281642">
      <w:pPr>
        <w:pStyle w:val="StyleLinespacingDouble"/>
      </w:pPr>
      <w:r>
        <w:rPr>
          <w:bCs/>
          <w:iCs/>
        </w:rPr>
        <w:t xml:space="preserve">Finally, </w:t>
      </w:r>
      <w:r w:rsidR="002935B3">
        <w:rPr>
          <w:bCs/>
          <w:iCs/>
        </w:rPr>
        <w:t xml:space="preserve">Parke-Davis used a </w:t>
      </w:r>
      <w:r w:rsidR="00D62819">
        <w:rPr>
          <w:bCs/>
          <w:i/>
          <w:iCs/>
        </w:rPr>
        <w:t>s</w:t>
      </w:r>
      <w:r w:rsidR="00E83B6E">
        <w:rPr>
          <w:bCs/>
          <w:i/>
          <w:iCs/>
        </w:rPr>
        <w:t>urrogate</w:t>
      </w:r>
      <w:r w:rsidR="002935B3" w:rsidRPr="00751000">
        <w:rPr>
          <w:bCs/>
          <w:i/>
          <w:iCs/>
        </w:rPr>
        <w:t xml:space="preserve"> </w:t>
      </w:r>
      <w:r w:rsidR="00D62819">
        <w:rPr>
          <w:bCs/>
          <w:i/>
          <w:iCs/>
        </w:rPr>
        <w:t>s</w:t>
      </w:r>
      <w:r w:rsidR="00E83B6E">
        <w:rPr>
          <w:bCs/>
          <w:i/>
          <w:iCs/>
        </w:rPr>
        <w:t xml:space="preserve">elling </w:t>
      </w:r>
      <w:r w:rsidR="00D62819">
        <w:rPr>
          <w:bCs/>
          <w:i/>
          <w:iCs/>
        </w:rPr>
        <w:t>s</w:t>
      </w:r>
      <w:r w:rsidR="002935B3" w:rsidRPr="00751000">
        <w:rPr>
          <w:bCs/>
          <w:i/>
          <w:iCs/>
        </w:rPr>
        <w:t>trategy</w:t>
      </w:r>
      <w:r w:rsidR="002935B3">
        <w:rPr>
          <w:bCs/>
          <w:iCs/>
        </w:rPr>
        <w:t xml:space="preserve"> by (</w:t>
      </w:r>
      <w:r w:rsidR="00C758F5">
        <w:rPr>
          <w:bCs/>
          <w:iCs/>
        </w:rPr>
        <w:t>a</w:t>
      </w:r>
      <w:r w:rsidR="002935B3">
        <w:rPr>
          <w:bCs/>
          <w:iCs/>
        </w:rPr>
        <w:t xml:space="preserve">) </w:t>
      </w:r>
      <w:r w:rsidR="00E12408" w:rsidRPr="00E12408">
        <w:rPr>
          <w:bCs/>
          <w:iCs/>
        </w:rPr>
        <w:t xml:space="preserve">promoting contagion effects </w:t>
      </w:r>
      <w:r w:rsidR="002935B3">
        <w:rPr>
          <w:bCs/>
          <w:iCs/>
        </w:rPr>
        <w:t xml:space="preserve">through </w:t>
      </w:r>
      <w:r w:rsidR="002935B3" w:rsidRPr="00117342">
        <w:t>“</w:t>
      </w:r>
      <w:r w:rsidR="002935B3" w:rsidRPr="00F006F9">
        <w:t>Neurontin® Champions</w:t>
      </w:r>
      <w:r w:rsidR="002935B3" w:rsidRPr="00117342">
        <w:t xml:space="preserve">,” </w:t>
      </w:r>
      <w:r w:rsidR="002935B3">
        <w:t>(</w:t>
      </w:r>
      <w:r w:rsidR="00C758F5">
        <w:t>b</w:t>
      </w:r>
      <w:r w:rsidR="002935B3">
        <w:t>) recruiting thought leaders; and (</w:t>
      </w:r>
      <w:r w:rsidR="00C758F5">
        <w:t>c</w:t>
      </w:r>
      <w:r w:rsidR="002935B3">
        <w:t xml:space="preserve">) </w:t>
      </w:r>
      <w:r w:rsidR="00FC4A8A">
        <w:t xml:space="preserve">managing </w:t>
      </w:r>
      <w:r w:rsidR="002935B3">
        <w:t>disease based advisory boards (</w:t>
      </w:r>
      <w:r>
        <w:t>last</w:t>
      </w:r>
      <w:r w:rsidR="00B45EDD">
        <w:t xml:space="preserve"> row Table 1; </w:t>
      </w:r>
      <w:r w:rsidR="002935B3">
        <w:t xml:space="preserve">Figure 1). </w:t>
      </w:r>
      <w:r w:rsidR="00281642" w:rsidRPr="00281642">
        <w:t>Promotion of contagion effects</w:t>
      </w:r>
      <w:r w:rsidR="002935B3">
        <w:rPr>
          <w:i/>
        </w:rPr>
        <w:t xml:space="preserve"> </w:t>
      </w:r>
      <w:r w:rsidR="002935B3">
        <w:t xml:space="preserve">involved </w:t>
      </w:r>
      <w:r w:rsidR="000A6CC7">
        <w:t xml:space="preserve">a “pyramid of influence,” where </w:t>
      </w:r>
      <w:r w:rsidR="002935B3" w:rsidRPr="00F006F9">
        <w:t>Neurontin® Champions</w:t>
      </w:r>
      <w:r w:rsidR="002935B3">
        <w:t xml:space="preserve">, </w:t>
      </w:r>
      <w:r w:rsidR="002935B3" w:rsidRPr="00117342">
        <w:t xml:space="preserve">influential and favorably disposed epileptologists </w:t>
      </w:r>
      <w:r w:rsidR="004731B7">
        <w:t>recruited from large teaching hospitals</w:t>
      </w:r>
      <w:r w:rsidR="00D62819">
        <w:t>,</w:t>
      </w:r>
      <w:r w:rsidR="004731B7">
        <w:t xml:space="preserve"> </w:t>
      </w:r>
      <w:r w:rsidR="000A6CC7">
        <w:t>r</w:t>
      </w:r>
      <w:r w:rsidR="002935B3" w:rsidRPr="00117342">
        <w:t>eassur</w:t>
      </w:r>
      <w:r w:rsidR="002935B3">
        <w:t>ed</w:t>
      </w:r>
      <w:r w:rsidR="002935B3" w:rsidRPr="00117342">
        <w:t xml:space="preserve"> their peers about </w:t>
      </w:r>
      <w:r w:rsidR="002935B3">
        <w:t>Neurontin</w:t>
      </w:r>
      <w:r w:rsidR="002935B3" w:rsidRPr="00117342">
        <w:t xml:space="preserve">’s </w:t>
      </w:r>
      <w:r w:rsidR="002935B3" w:rsidRPr="00117342">
        <w:lastRenderedPageBreak/>
        <w:t>efficacy</w:t>
      </w:r>
      <w:r w:rsidR="000A6CC7">
        <w:t xml:space="preserve">. </w:t>
      </w:r>
      <w:r w:rsidR="007B7ED0">
        <w:t xml:space="preserve"> </w:t>
      </w:r>
      <w:r w:rsidR="002935B3">
        <w:t xml:space="preserve">The company </w:t>
      </w:r>
      <w:r>
        <w:t xml:space="preserve">invited these champions to </w:t>
      </w:r>
      <w:r w:rsidR="00281642" w:rsidRPr="00281642">
        <w:t>disease-based advisory boards</w:t>
      </w:r>
      <w:r w:rsidR="002935B3" w:rsidRPr="00117342">
        <w:t xml:space="preserve"> </w:t>
      </w:r>
      <w:r w:rsidR="002935B3">
        <w:t xml:space="preserve">for </w:t>
      </w:r>
      <w:r w:rsidR="002935B3" w:rsidRPr="00117342">
        <w:t>discuss</w:t>
      </w:r>
      <w:r w:rsidR="002935B3">
        <w:t>ing</w:t>
      </w:r>
      <w:r w:rsidR="002935B3" w:rsidRPr="00117342">
        <w:t xml:space="preserve"> diagnostic criteria and appropriate treatment plan</w:t>
      </w:r>
      <w:r w:rsidR="002935B3">
        <w:t>s for specific diseases (e.g., neuropathy, m</w:t>
      </w:r>
      <w:r w:rsidR="002935B3" w:rsidRPr="00117342">
        <w:t>igraine)</w:t>
      </w:r>
      <w:r w:rsidR="002935B3">
        <w:t xml:space="preserve"> that promoted Neurontin </w:t>
      </w:r>
      <w:r w:rsidR="002935B3" w:rsidRPr="00117342">
        <w:t xml:space="preserve">as </w:t>
      </w:r>
      <w:r w:rsidR="00881490">
        <w:t xml:space="preserve">a first choice in </w:t>
      </w:r>
      <w:r w:rsidR="002935B3" w:rsidRPr="00117342">
        <w:t>standard treatment plans</w:t>
      </w:r>
      <w:r w:rsidR="00E247CF">
        <w:t xml:space="preserve">. </w:t>
      </w:r>
      <w:r w:rsidR="002935B3">
        <w:t xml:space="preserve">The key goal of the </w:t>
      </w:r>
      <w:r w:rsidR="00E247CF">
        <w:t>surrogate selling</w:t>
      </w:r>
      <w:r w:rsidR="002935B3">
        <w:t xml:space="preserve"> strategy was to “increase Neurontin new prescriptions by convincing non-prescribers to begin prescribing and current prescribers to increase their prescription behavior” (exhibit 78, 79). </w:t>
      </w:r>
      <w:r w:rsidR="003227B6">
        <w:t xml:space="preserve">Medical liaisons encouraged </w:t>
      </w:r>
      <w:r w:rsidR="00C758F5">
        <w:t>N</w:t>
      </w:r>
      <w:r w:rsidR="003227B6">
        <w:t xml:space="preserve">eurontin </w:t>
      </w:r>
      <w:r w:rsidR="00C758F5">
        <w:t xml:space="preserve">champions </w:t>
      </w:r>
      <w:r w:rsidR="003227B6">
        <w:t xml:space="preserve">to publicize their feelings:  </w:t>
      </w:r>
    </w:p>
    <w:p w:rsidR="0069014D" w:rsidRDefault="00CE206A" w:rsidP="001C496F">
      <w:pPr>
        <w:autoSpaceDE w:val="0"/>
        <w:autoSpaceDN w:val="0"/>
        <w:adjustRightInd w:val="0"/>
        <w:spacing w:after="240"/>
        <w:rPr>
          <w:i/>
        </w:rPr>
      </w:pPr>
      <w:r w:rsidRPr="00CE206A">
        <w:rPr>
          <w:i/>
          <w:kern w:val="0"/>
        </w:rPr>
        <w:t xml:space="preserve"> </w:t>
      </w:r>
      <w:r w:rsidR="005509D6">
        <w:rPr>
          <w:i/>
          <w:kern w:val="0"/>
        </w:rPr>
        <w:t>“</w:t>
      </w:r>
      <w:r w:rsidR="00B3080C">
        <w:rPr>
          <w:i/>
          <w:kern w:val="0"/>
        </w:rPr>
        <w:t>I</w:t>
      </w:r>
      <w:r w:rsidRPr="00CE206A">
        <w:rPr>
          <w:i/>
          <w:kern w:val="0"/>
        </w:rPr>
        <w:t>n fact, John</w:t>
      </w:r>
      <w:r>
        <w:rPr>
          <w:i/>
          <w:kern w:val="0"/>
        </w:rPr>
        <w:t xml:space="preserve"> </w:t>
      </w:r>
      <w:r w:rsidRPr="00CE206A">
        <w:rPr>
          <w:i/>
          <w:kern w:val="0"/>
        </w:rPr>
        <w:t>had met with somebody</w:t>
      </w:r>
      <w:r w:rsidR="009E585B">
        <w:rPr>
          <w:i/>
          <w:kern w:val="0"/>
        </w:rPr>
        <w:t>...</w:t>
      </w:r>
      <w:r w:rsidRPr="00CE206A">
        <w:rPr>
          <w:i/>
          <w:kern w:val="0"/>
        </w:rPr>
        <w:t xml:space="preserve"> who had asked about</w:t>
      </w:r>
      <w:r>
        <w:rPr>
          <w:i/>
          <w:kern w:val="0"/>
        </w:rPr>
        <w:t xml:space="preserve"> </w:t>
      </w:r>
      <w:r w:rsidRPr="00CE206A">
        <w:rPr>
          <w:i/>
          <w:kern w:val="0"/>
        </w:rPr>
        <w:t>restless leg</w:t>
      </w:r>
      <w:r w:rsidR="009E585B">
        <w:rPr>
          <w:i/>
          <w:kern w:val="0"/>
        </w:rPr>
        <w:t>...</w:t>
      </w:r>
      <w:r w:rsidRPr="00CE206A">
        <w:rPr>
          <w:i/>
          <w:kern w:val="0"/>
        </w:rPr>
        <w:t xml:space="preserve"> </w:t>
      </w:r>
      <w:r w:rsidR="009E585B">
        <w:rPr>
          <w:i/>
          <w:kern w:val="0"/>
        </w:rPr>
        <w:t>t</w:t>
      </w:r>
      <w:r w:rsidRPr="00CE206A">
        <w:rPr>
          <w:i/>
          <w:kern w:val="0"/>
        </w:rPr>
        <w:t xml:space="preserve">old her exactly what </w:t>
      </w:r>
      <w:r>
        <w:rPr>
          <w:i/>
          <w:kern w:val="0"/>
        </w:rPr>
        <w:t>he's doing</w:t>
      </w:r>
      <w:r w:rsidRPr="00CE206A">
        <w:rPr>
          <w:i/>
          <w:kern w:val="0"/>
        </w:rPr>
        <w:t>. And, she's using it</w:t>
      </w:r>
      <w:r>
        <w:rPr>
          <w:i/>
          <w:kern w:val="0"/>
        </w:rPr>
        <w:t xml:space="preserve"> </w:t>
      </w:r>
      <w:r w:rsidRPr="00CE206A">
        <w:rPr>
          <w:i/>
          <w:kern w:val="0"/>
        </w:rPr>
        <w:t xml:space="preserve">like crazy now. That zip code that </w:t>
      </w:r>
      <w:r w:rsidR="003E7C8E">
        <w:rPr>
          <w:i/>
          <w:kern w:val="0"/>
        </w:rPr>
        <w:t>Dr. X</w:t>
      </w:r>
      <w:r w:rsidR="003E7C8E" w:rsidRPr="00CE206A">
        <w:rPr>
          <w:i/>
          <w:kern w:val="0"/>
        </w:rPr>
        <w:t xml:space="preserve"> </w:t>
      </w:r>
      <w:r w:rsidRPr="00CE206A">
        <w:rPr>
          <w:i/>
          <w:kern w:val="0"/>
        </w:rPr>
        <w:t>is in like up to a</w:t>
      </w:r>
      <w:r>
        <w:rPr>
          <w:i/>
          <w:kern w:val="0"/>
        </w:rPr>
        <w:t xml:space="preserve"> </w:t>
      </w:r>
      <w:r w:rsidRPr="00CE206A">
        <w:rPr>
          <w:i/>
          <w:kern w:val="0"/>
        </w:rPr>
        <w:t>fifteen per</w:t>
      </w:r>
      <w:r>
        <w:rPr>
          <w:i/>
          <w:kern w:val="0"/>
        </w:rPr>
        <w:t>cent curve on the market share</w:t>
      </w:r>
      <w:r w:rsidR="00472EA4">
        <w:rPr>
          <w:i/>
          <w:kern w:val="0"/>
        </w:rPr>
        <w:t>,</w:t>
      </w:r>
      <w:r w:rsidR="005509D6">
        <w:rPr>
          <w:i/>
          <w:kern w:val="0"/>
        </w:rPr>
        <w:t>”</w:t>
      </w:r>
      <w:r w:rsidR="00B3080C" w:rsidRPr="00B3080C">
        <w:t xml:space="preserve"> </w:t>
      </w:r>
      <w:r w:rsidR="00B3080C">
        <w:t>(Exhibit A)</w:t>
      </w:r>
      <w:r w:rsidR="005509D6">
        <w:t>.</w:t>
      </w:r>
    </w:p>
    <w:p w:rsidR="007910EE" w:rsidRDefault="00C758F5" w:rsidP="007910EE">
      <w:pPr>
        <w:autoSpaceDE w:val="0"/>
        <w:autoSpaceDN w:val="0"/>
        <w:adjustRightInd w:val="0"/>
        <w:spacing w:line="480" w:lineRule="auto"/>
      </w:pPr>
      <w:r>
        <w:rPr>
          <w:kern w:val="0"/>
        </w:rPr>
        <w:t>The med</w:t>
      </w:r>
      <w:r w:rsidR="00765432">
        <w:rPr>
          <w:kern w:val="0"/>
        </w:rPr>
        <w:t xml:space="preserve">ical literature provides corroborating evidence on surrogate selling. For instance, Henry et al. (2005) report in their study involving Australian physicians that 23% of their sample was on industry advisory panels </w:t>
      </w:r>
      <w:r w:rsidR="006747A1">
        <w:rPr>
          <w:kern w:val="0"/>
        </w:rPr>
        <w:t xml:space="preserve">and </w:t>
      </w:r>
      <w:r w:rsidR="00765432">
        <w:rPr>
          <w:kern w:val="0"/>
        </w:rPr>
        <w:t xml:space="preserve">16% acted as expert speakers for specific pharmaceutical products.  </w:t>
      </w:r>
      <w:r w:rsidR="00BC3B96">
        <w:rPr>
          <w:kern w:val="0"/>
        </w:rPr>
        <w:t xml:space="preserve">Surrogate selling influence has been examined in seeding trials where the pharmaceutical company awards </w:t>
      </w:r>
      <w:r w:rsidR="006747A1">
        <w:rPr>
          <w:kern w:val="0"/>
        </w:rPr>
        <w:t xml:space="preserve">drug-trial </w:t>
      </w:r>
      <w:r w:rsidR="00BC3B96">
        <w:rPr>
          <w:kern w:val="0"/>
        </w:rPr>
        <w:t xml:space="preserve">grants to physician investigators with the intent to encourage the physicians to advocate the drug to their colleagues. For instance, internal documents pertaining to Merck’s ADVANTAGE (Assessment of Differences between Vioxx and Naproxen </w:t>
      </w:r>
      <w:r w:rsidR="00792D99">
        <w:rPr>
          <w:kern w:val="0"/>
        </w:rPr>
        <w:t>t</w:t>
      </w:r>
      <w:r w:rsidR="00BC3B96">
        <w:rPr>
          <w:kern w:val="0"/>
        </w:rPr>
        <w:t xml:space="preserve">o Ascertain Gastrointestinal Tolerability and Effectiveness) seeding trial revealed that Merck designed the study with a quest to </w:t>
      </w:r>
      <w:r w:rsidR="000F27A5">
        <w:rPr>
          <w:kern w:val="0"/>
        </w:rPr>
        <w:t xml:space="preserve">engage future prescribers with Vioxx (Hill et al. 2008).  Additionally, the appropriateness of physician membership in speakers’ bureau and advisory boards and their role in surrogate selling have been questioned by a number of medical researchers  (Brennan et al. 2006; </w:t>
      </w:r>
      <w:r w:rsidR="0004265B">
        <w:rPr>
          <w:kern w:val="0"/>
        </w:rPr>
        <w:t xml:space="preserve">Angell 2008; </w:t>
      </w:r>
      <w:r w:rsidR="000F27A5">
        <w:rPr>
          <w:kern w:val="0"/>
        </w:rPr>
        <w:t xml:space="preserve">Jampol et al. 2009; Insel 2010).  In a national survey of department chairs in the 125 accredited medical schools and 15 largest independent teaching hospitals, Campbell et al (2007) found that </w:t>
      </w:r>
      <w:r w:rsidR="0004265B">
        <w:rPr>
          <w:kern w:val="0"/>
        </w:rPr>
        <w:t xml:space="preserve">27% of department chairs surveyed had a consulting relationship with the industry and 14% served on the speakers’ bureau. </w:t>
      </w:r>
      <w:r w:rsidR="000F27A5">
        <w:rPr>
          <w:kern w:val="0"/>
        </w:rPr>
        <w:t xml:space="preserve"> </w:t>
      </w:r>
    </w:p>
    <w:p w:rsidR="007910EE" w:rsidRPr="007910EE" w:rsidRDefault="007910EE" w:rsidP="007910EE">
      <w:pPr>
        <w:autoSpaceDE w:val="0"/>
        <w:autoSpaceDN w:val="0"/>
        <w:adjustRightInd w:val="0"/>
        <w:spacing w:line="480" w:lineRule="auto"/>
        <w:rPr>
          <w:b/>
          <w:i/>
        </w:rPr>
      </w:pPr>
      <w:r w:rsidRPr="007910EE">
        <w:rPr>
          <w:b/>
          <w:i/>
        </w:rPr>
        <w:t>Strategic Interdependencies</w:t>
      </w:r>
    </w:p>
    <w:p w:rsidR="00FE6C3B" w:rsidRDefault="00B55D15" w:rsidP="00C4236E">
      <w:pPr>
        <w:pStyle w:val="StyleLinespacingDouble"/>
        <w:rPr>
          <w:bCs/>
          <w:iCs/>
        </w:rPr>
      </w:pPr>
      <w:r>
        <w:t xml:space="preserve">Our </w:t>
      </w:r>
      <w:r w:rsidR="00EA0634">
        <w:t xml:space="preserve">analysis indicates that </w:t>
      </w:r>
      <w:r w:rsidR="005745B4">
        <w:t xml:space="preserve">Parke-Davis structured </w:t>
      </w:r>
      <w:r>
        <w:t xml:space="preserve">deliberate </w:t>
      </w:r>
      <w:r w:rsidR="00EA0634">
        <w:t xml:space="preserve">and systematic interdependencies among the </w:t>
      </w:r>
      <w:r w:rsidR="00DE0520">
        <w:t>four strategies outline</w:t>
      </w:r>
      <w:r w:rsidR="000F4034">
        <w:t>d</w:t>
      </w:r>
      <w:r w:rsidR="00DE0520">
        <w:t xml:space="preserve"> above</w:t>
      </w:r>
      <w:r w:rsidR="00C4236E">
        <w:t xml:space="preserve">, which we broadly classify as </w:t>
      </w:r>
      <w:r w:rsidR="00C4236E" w:rsidRPr="00F94EEE">
        <w:rPr>
          <w:bCs/>
          <w:i/>
          <w:iCs/>
        </w:rPr>
        <w:lastRenderedPageBreak/>
        <w:t>expertise</w:t>
      </w:r>
      <w:r w:rsidR="00C4236E">
        <w:rPr>
          <w:bCs/>
          <w:iCs/>
        </w:rPr>
        <w:t xml:space="preserve"> or </w:t>
      </w:r>
      <w:r w:rsidR="00C4236E" w:rsidRPr="00F94EEE">
        <w:rPr>
          <w:bCs/>
          <w:i/>
          <w:iCs/>
        </w:rPr>
        <w:t>promotion</w:t>
      </w:r>
      <w:r w:rsidR="00C4236E">
        <w:rPr>
          <w:bCs/>
          <w:iCs/>
        </w:rPr>
        <w:t xml:space="preserve"> based interdependencies</w:t>
      </w:r>
      <w:r w:rsidR="00DE0520">
        <w:t xml:space="preserve">. The goal of these interdependencies </w:t>
      </w:r>
      <w:r w:rsidR="005745B4">
        <w:t>was</w:t>
      </w:r>
      <w:r w:rsidR="00DE0520">
        <w:t xml:space="preserve"> to </w:t>
      </w:r>
      <w:r w:rsidR="00EC60A3">
        <w:t xml:space="preserve">link strategies so that they </w:t>
      </w:r>
      <w:r w:rsidR="00B97F99" w:rsidRPr="00B97F99">
        <w:t>collectively</w:t>
      </w:r>
      <w:r>
        <w:t xml:space="preserve"> exert a </w:t>
      </w:r>
      <w:r w:rsidR="00473C10">
        <w:t xml:space="preserve">synergistic </w:t>
      </w:r>
      <w:r w:rsidRPr="00117342">
        <w:t xml:space="preserve">influence </w:t>
      </w:r>
      <w:r>
        <w:t xml:space="preserve">on </w:t>
      </w:r>
      <w:r w:rsidRPr="00117342">
        <w:t>a physician’s decision to write prescriptions that favor the company’s products</w:t>
      </w:r>
      <w:r>
        <w:t xml:space="preserve">. </w:t>
      </w:r>
      <w:r w:rsidR="00DE0520">
        <w:t xml:space="preserve"> </w:t>
      </w:r>
      <w:r w:rsidR="00DE0520">
        <w:rPr>
          <w:bCs/>
          <w:iCs/>
        </w:rPr>
        <w:t xml:space="preserve">Expertise based interdependencies </w:t>
      </w:r>
      <w:r w:rsidR="00390013">
        <w:rPr>
          <w:bCs/>
          <w:iCs/>
        </w:rPr>
        <w:t xml:space="preserve">focus on </w:t>
      </w:r>
      <w:r w:rsidR="00EC60A3">
        <w:rPr>
          <w:bCs/>
          <w:iCs/>
        </w:rPr>
        <w:t>leverag</w:t>
      </w:r>
      <w:r w:rsidR="00390013">
        <w:rPr>
          <w:bCs/>
          <w:iCs/>
        </w:rPr>
        <w:t xml:space="preserve">ing </w:t>
      </w:r>
      <w:r w:rsidR="00DE0520">
        <w:rPr>
          <w:bCs/>
          <w:iCs/>
        </w:rPr>
        <w:t xml:space="preserve">knowledge </w:t>
      </w:r>
      <w:r w:rsidR="00390013">
        <w:rPr>
          <w:bCs/>
          <w:iCs/>
        </w:rPr>
        <w:t xml:space="preserve">(e.g., scientific evidence) </w:t>
      </w:r>
      <w:r w:rsidR="00473C10">
        <w:rPr>
          <w:bCs/>
          <w:iCs/>
        </w:rPr>
        <w:t xml:space="preserve">and </w:t>
      </w:r>
      <w:r w:rsidR="00390013">
        <w:rPr>
          <w:bCs/>
          <w:iCs/>
        </w:rPr>
        <w:t xml:space="preserve">knowledgeable physicians (e.g., thought leaders) </w:t>
      </w:r>
      <w:r w:rsidR="00893414">
        <w:rPr>
          <w:bCs/>
          <w:iCs/>
        </w:rPr>
        <w:t>across strategies</w:t>
      </w:r>
      <w:r w:rsidR="00390013">
        <w:rPr>
          <w:bCs/>
          <w:iCs/>
        </w:rPr>
        <w:t xml:space="preserve"> to support Parke Davis</w:t>
      </w:r>
      <w:r w:rsidR="00531847">
        <w:rPr>
          <w:bCs/>
          <w:iCs/>
        </w:rPr>
        <w:t>’</w:t>
      </w:r>
      <w:r w:rsidR="00390013">
        <w:rPr>
          <w:bCs/>
          <w:iCs/>
        </w:rPr>
        <w:t xml:space="preserve"> objectives for Neurontin. P</w:t>
      </w:r>
      <w:r w:rsidR="00EC60A3">
        <w:rPr>
          <w:bCs/>
          <w:iCs/>
        </w:rPr>
        <w:t xml:space="preserve">romotion based interdependencies focus on </w:t>
      </w:r>
      <w:r w:rsidR="005C5353">
        <w:rPr>
          <w:bCs/>
          <w:iCs/>
        </w:rPr>
        <w:t xml:space="preserve">leveraging data (e.g., prescription writing) and networks (e.g., Neurontin champions) to </w:t>
      </w:r>
      <w:r w:rsidR="00390013">
        <w:rPr>
          <w:bCs/>
          <w:iCs/>
        </w:rPr>
        <w:t xml:space="preserve">bolster the </w:t>
      </w:r>
      <w:r w:rsidR="005C5353">
        <w:rPr>
          <w:bCs/>
          <w:iCs/>
        </w:rPr>
        <w:t xml:space="preserve">sales efforts in direct </w:t>
      </w:r>
      <w:r w:rsidR="00390013">
        <w:rPr>
          <w:bCs/>
          <w:iCs/>
        </w:rPr>
        <w:t xml:space="preserve">interactions </w:t>
      </w:r>
      <w:r w:rsidR="005C5353">
        <w:rPr>
          <w:bCs/>
          <w:iCs/>
        </w:rPr>
        <w:t xml:space="preserve">with targeted physicians.  </w:t>
      </w:r>
      <w:r w:rsidR="00C4236E">
        <w:rPr>
          <w:bCs/>
          <w:iCs/>
        </w:rPr>
        <w:t xml:space="preserve">These interdependencies are shown in Figure 1 as direct or indirect linkages corresponding to promotion or expertise based interdependencies respectively.  Promotion based interdependencies are direct linkages because they </w:t>
      </w:r>
      <w:r w:rsidR="00CC75A8">
        <w:rPr>
          <w:bCs/>
          <w:iCs/>
        </w:rPr>
        <w:t xml:space="preserve">largely </w:t>
      </w:r>
      <w:r w:rsidR="00C4236E">
        <w:rPr>
          <w:bCs/>
          <w:iCs/>
        </w:rPr>
        <w:t xml:space="preserve">involve </w:t>
      </w:r>
      <w:r w:rsidR="0078330B">
        <w:rPr>
          <w:bCs/>
          <w:iCs/>
        </w:rPr>
        <w:t xml:space="preserve">sales people </w:t>
      </w:r>
      <w:r w:rsidR="00CC75A8">
        <w:rPr>
          <w:bCs/>
          <w:iCs/>
        </w:rPr>
        <w:t xml:space="preserve">employed by </w:t>
      </w:r>
      <w:r w:rsidR="0078330B">
        <w:rPr>
          <w:bCs/>
          <w:iCs/>
        </w:rPr>
        <w:t>the company</w:t>
      </w:r>
      <w:r w:rsidR="00CC75A8">
        <w:rPr>
          <w:bCs/>
          <w:iCs/>
        </w:rPr>
        <w:t>, while expertise based interdependencies mostly involve independent physicians</w:t>
      </w:r>
      <w:r w:rsidR="0078330B">
        <w:rPr>
          <w:bCs/>
          <w:iCs/>
        </w:rPr>
        <w:t>.</w:t>
      </w:r>
      <w:r w:rsidR="00CC75A8">
        <w:rPr>
          <w:bCs/>
          <w:iCs/>
        </w:rPr>
        <w:t xml:space="preserve">  We discuss the findings related to expertise- and promotion based interdependences in order.</w:t>
      </w:r>
    </w:p>
    <w:p w:rsidR="0069014D" w:rsidRDefault="007910EE">
      <w:pPr>
        <w:pStyle w:val="StyleLinespacingDouble"/>
        <w:rPr>
          <w:bCs/>
          <w:iCs/>
        </w:rPr>
      </w:pPr>
      <w:r w:rsidRPr="007910EE">
        <w:rPr>
          <w:b/>
          <w:bCs/>
          <w:i/>
          <w:iCs/>
        </w:rPr>
        <w:t>Expertise based interdependencies</w:t>
      </w:r>
      <w:r w:rsidR="00CC75A8">
        <w:rPr>
          <w:bCs/>
          <w:iCs/>
        </w:rPr>
        <w:t>.</w:t>
      </w:r>
      <w:r w:rsidR="00FE6C3B">
        <w:rPr>
          <w:bCs/>
          <w:iCs/>
        </w:rPr>
        <w:t xml:space="preserve"> </w:t>
      </w:r>
      <w:r w:rsidR="00F24500">
        <w:rPr>
          <w:bCs/>
          <w:iCs/>
        </w:rPr>
        <w:t xml:space="preserve">Our </w:t>
      </w:r>
      <w:r w:rsidR="00CC75A8">
        <w:rPr>
          <w:bCs/>
          <w:iCs/>
        </w:rPr>
        <w:t>analysis reveals</w:t>
      </w:r>
      <w:r w:rsidR="00F24500">
        <w:rPr>
          <w:bCs/>
          <w:iCs/>
        </w:rPr>
        <w:t xml:space="preserve"> that Parke Davis </w:t>
      </w:r>
      <w:r w:rsidR="00CC75A8">
        <w:rPr>
          <w:bCs/>
          <w:iCs/>
        </w:rPr>
        <w:t xml:space="preserve">leveraged </w:t>
      </w:r>
      <w:r w:rsidR="001B02CF">
        <w:rPr>
          <w:bCs/>
          <w:iCs/>
        </w:rPr>
        <w:t xml:space="preserve">expertise in several forms of interdependencies.  For instance, </w:t>
      </w:r>
      <w:r w:rsidR="00AB3683">
        <w:rPr>
          <w:bCs/>
          <w:iCs/>
        </w:rPr>
        <w:t xml:space="preserve">the expertise of </w:t>
      </w:r>
      <w:r w:rsidR="00F24500">
        <w:rPr>
          <w:bCs/>
          <w:iCs/>
        </w:rPr>
        <w:t xml:space="preserve">lead investigators funded by </w:t>
      </w:r>
      <w:r w:rsidR="00AB3683">
        <w:rPr>
          <w:bCs/>
          <w:iCs/>
        </w:rPr>
        <w:t xml:space="preserve">Parke Davis as part of </w:t>
      </w:r>
      <w:r w:rsidR="00F24500">
        <w:rPr>
          <w:bCs/>
          <w:iCs/>
        </w:rPr>
        <w:t>evidence based strategy</w:t>
      </w:r>
      <w:r w:rsidR="00AB3683">
        <w:rPr>
          <w:bCs/>
          <w:iCs/>
        </w:rPr>
        <w:t xml:space="preserve"> was leveraged by inviting them to participate </w:t>
      </w:r>
      <w:r w:rsidR="00F24500">
        <w:rPr>
          <w:bCs/>
          <w:iCs/>
        </w:rPr>
        <w:t>in CME initiatives</w:t>
      </w:r>
      <w:r w:rsidR="00AB3683">
        <w:rPr>
          <w:bCs/>
          <w:iCs/>
        </w:rPr>
        <w:t xml:space="preserve"> as part of the education strategy</w:t>
      </w:r>
      <w:r w:rsidR="00F24500">
        <w:rPr>
          <w:bCs/>
          <w:iCs/>
        </w:rPr>
        <w:t>.</w:t>
      </w:r>
      <w:r w:rsidR="00BA0243">
        <w:rPr>
          <w:bCs/>
          <w:iCs/>
        </w:rPr>
        <w:t xml:space="preserve"> </w:t>
      </w:r>
      <w:r w:rsidR="00F24500">
        <w:rPr>
          <w:bCs/>
          <w:iCs/>
        </w:rPr>
        <w:t xml:space="preserve"> </w:t>
      </w:r>
      <w:r w:rsidR="00BA0243">
        <w:rPr>
          <w:bCs/>
          <w:iCs/>
        </w:rPr>
        <w:t xml:space="preserve">The CME initiatives by favorably pre-disposed physician scientists assured </w:t>
      </w:r>
      <w:r w:rsidR="000F4034">
        <w:rPr>
          <w:bCs/>
          <w:iCs/>
        </w:rPr>
        <w:t xml:space="preserve">standards of care </w:t>
      </w:r>
      <w:r w:rsidR="00F24500">
        <w:rPr>
          <w:bCs/>
          <w:iCs/>
        </w:rPr>
        <w:t>in favor of Neurontin</w:t>
      </w:r>
      <w:r w:rsidR="00BA0243">
        <w:rPr>
          <w:bCs/>
          <w:iCs/>
        </w:rPr>
        <w:t xml:space="preserve"> since participants were unaware of financial ties between the </w:t>
      </w:r>
      <w:r w:rsidR="00AB3683">
        <w:rPr>
          <w:bCs/>
          <w:iCs/>
        </w:rPr>
        <w:t>physician-</w:t>
      </w:r>
      <w:r w:rsidR="00BA0243">
        <w:rPr>
          <w:bCs/>
          <w:iCs/>
        </w:rPr>
        <w:t>scientist</w:t>
      </w:r>
      <w:r w:rsidR="00AB3683">
        <w:rPr>
          <w:bCs/>
          <w:iCs/>
        </w:rPr>
        <w:t>s</w:t>
      </w:r>
      <w:r w:rsidR="00BA0243">
        <w:rPr>
          <w:bCs/>
          <w:iCs/>
        </w:rPr>
        <w:t xml:space="preserve"> and Parke Davis</w:t>
      </w:r>
      <w:r w:rsidR="000F4034">
        <w:rPr>
          <w:bCs/>
          <w:iCs/>
        </w:rPr>
        <w:t xml:space="preserve">. </w:t>
      </w:r>
      <w:r w:rsidR="003E7C8E">
        <w:rPr>
          <w:bCs/>
          <w:iCs/>
        </w:rPr>
        <w:t>A</w:t>
      </w:r>
      <w:r w:rsidR="002345BF">
        <w:rPr>
          <w:bCs/>
          <w:iCs/>
        </w:rPr>
        <w:t xml:space="preserve"> sworn testimony of an</w:t>
      </w:r>
      <w:r w:rsidR="003E7C8E">
        <w:rPr>
          <w:bCs/>
          <w:iCs/>
        </w:rPr>
        <w:t xml:space="preserve"> expert witness illustrates these interdependencies:  </w:t>
      </w:r>
    </w:p>
    <w:p w:rsidR="007910EE" w:rsidRDefault="003E7C8E" w:rsidP="001C496F">
      <w:pPr>
        <w:autoSpaceDE w:val="0"/>
        <w:autoSpaceDN w:val="0"/>
        <w:adjustRightInd w:val="0"/>
        <w:spacing w:after="240"/>
        <w:rPr>
          <w:i/>
          <w:kern w:val="0"/>
        </w:rPr>
      </w:pPr>
      <w:r>
        <w:rPr>
          <w:i/>
          <w:kern w:val="0"/>
        </w:rPr>
        <w:t>“</w:t>
      </w:r>
      <w:r w:rsidR="009F4FF1" w:rsidRPr="009F4FF1">
        <w:rPr>
          <w:i/>
          <w:kern w:val="0"/>
        </w:rPr>
        <w:t xml:space="preserve">A continuing medical education monograph </w:t>
      </w:r>
      <w:r w:rsidR="00BA0243">
        <w:rPr>
          <w:i/>
          <w:kern w:val="0"/>
        </w:rPr>
        <w:t xml:space="preserve">… </w:t>
      </w:r>
      <w:r w:rsidR="009F4FF1" w:rsidRPr="009F4FF1">
        <w:rPr>
          <w:i/>
          <w:kern w:val="0"/>
        </w:rPr>
        <w:t>was supported by an unrestricted educational</w:t>
      </w:r>
      <w:r>
        <w:rPr>
          <w:i/>
          <w:kern w:val="0"/>
        </w:rPr>
        <w:t xml:space="preserve"> </w:t>
      </w:r>
      <w:r w:rsidR="009F4FF1" w:rsidRPr="009F4FF1">
        <w:rPr>
          <w:i/>
          <w:kern w:val="0"/>
        </w:rPr>
        <w:t>grant from Parke-Davis</w:t>
      </w:r>
      <w:r w:rsidR="00BA0243">
        <w:rPr>
          <w:i/>
          <w:kern w:val="0"/>
        </w:rPr>
        <w:t>… [to]t</w:t>
      </w:r>
      <w:r w:rsidR="009F4FF1" w:rsidRPr="009F4FF1">
        <w:rPr>
          <w:i/>
          <w:kern w:val="0"/>
        </w:rPr>
        <w:t>he author of the monograph and narrator of the accompanying audio</w:t>
      </w:r>
      <w:r>
        <w:rPr>
          <w:i/>
          <w:kern w:val="0"/>
        </w:rPr>
        <w:t xml:space="preserve"> </w:t>
      </w:r>
      <w:r w:rsidR="009F4FF1" w:rsidRPr="009F4FF1">
        <w:rPr>
          <w:i/>
          <w:kern w:val="0"/>
        </w:rPr>
        <w:t xml:space="preserve">tape </w:t>
      </w:r>
      <w:r w:rsidR="00BA0243">
        <w:rPr>
          <w:i/>
          <w:kern w:val="0"/>
        </w:rPr>
        <w:t>…</w:t>
      </w:r>
      <w:r w:rsidR="009F4FF1" w:rsidRPr="009F4FF1">
        <w:rPr>
          <w:i/>
          <w:kern w:val="0"/>
        </w:rPr>
        <w:t xml:space="preserve"> </w:t>
      </w:r>
      <w:r w:rsidR="0095666F">
        <w:rPr>
          <w:i/>
          <w:kern w:val="0"/>
        </w:rPr>
        <w:t xml:space="preserve">Dr. X </w:t>
      </w:r>
      <w:r w:rsidR="0095666F">
        <w:rPr>
          <w:kern w:val="0"/>
        </w:rPr>
        <w:t>[name withheld]</w:t>
      </w:r>
      <w:r w:rsidR="009F4FF1" w:rsidRPr="009F4FF1">
        <w:rPr>
          <w:i/>
          <w:kern w:val="0"/>
        </w:rPr>
        <w:t>, President of the International Headache Society</w:t>
      </w:r>
      <w:r w:rsidR="00067C5A">
        <w:rPr>
          <w:i/>
          <w:kern w:val="0"/>
        </w:rPr>
        <w:t>..</w:t>
      </w:r>
      <w:r w:rsidR="009F4FF1" w:rsidRPr="009F4FF1">
        <w:rPr>
          <w:i/>
          <w:kern w:val="0"/>
        </w:rPr>
        <w:t>.</w:t>
      </w:r>
      <w:r w:rsidR="0095666F">
        <w:rPr>
          <w:i/>
          <w:kern w:val="0"/>
        </w:rPr>
        <w:t>”</w:t>
      </w:r>
      <w:r w:rsidR="00BA0243">
        <w:rPr>
          <w:i/>
          <w:kern w:val="0"/>
        </w:rPr>
        <w:t xml:space="preserve"> </w:t>
      </w:r>
      <w:r w:rsidR="00B22438" w:rsidRPr="00B22438">
        <w:rPr>
          <w:kern w:val="0"/>
        </w:rPr>
        <w:t>(Exhibit N)</w:t>
      </w:r>
      <w:r w:rsidR="00EE215C">
        <w:rPr>
          <w:i/>
          <w:kern w:val="0"/>
        </w:rPr>
        <w:t>.</w:t>
      </w:r>
    </w:p>
    <w:p w:rsidR="007910EE" w:rsidRDefault="00AB3683" w:rsidP="007910EE">
      <w:pPr>
        <w:pStyle w:val="StyleLinespacingDouble"/>
        <w:rPr>
          <w:bCs/>
          <w:iCs/>
        </w:rPr>
      </w:pPr>
      <w:r>
        <w:rPr>
          <w:bCs/>
          <w:iCs/>
        </w:rPr>
        <w:t>In another form of interdependency, t</w:t>
      </w:r>
      <w:r w:rsidR="000F4034" w:rsidRPr="003227B6">
        <w:rPr>
          <w:bCs/>
          <w:iCs/>
        </w:rPr>
        <w:t xml:space="preserve">he </w:t>
      </w:r>
      <w:r w:rsidR="002F2ABB" w:rsidRPr="003227B6">
        <w:rPr>
          <w:bCs/>
          <w:iCs/>
        </w:rPr>
        <w:t xml:space="preserve">speaker’s bureau </w:t>
      </w:r>
      <w:r w:rsidR="00804A25" w:rsidRPr="003227B6">
        <w:rPr>
          <w:bCs/>
          <w:iCs/>
        </w:rPr>
        <w:t xml:space="preserve">constituted as part of the </w:t>
      </w:r>
      <w:r w:rsidR="00E83B6E" w:rsidRPr="003227B6">
        <w:rPr>
          <w:bCs/>
          <w:iCs/>
        </w:rPr>
        <w:t>education</w:t>
      </w:r>
      <w:r w:rsidR="00804A25" w:rsidRPr="003227B6">
        <w:rPr>
          <w:bCs/>
          <w:iCs/>
        </w:rPr>
        <w:t xml:space="preserve"> strategy was systematically </w:t>
      </w:r>
      <w:r w:rsidR="00DD2EAB">
        <w:rPr>
          <w:bCs/>
          <w:iCs/>
        </w:rPr>
        <w:t xml:space="preserve">culled </w:t>
      </w:r>
      <w:r w:rsidR="00804A25" w:rsidRPr="003227B6">
        <w:rPr>
          <w:bCs/>
          <w:iCs/>
        </w:rPr>
        <w:t xml:space="preserve">to </w:t>
      </w:r>
      <w:r>
        <w:rPr>
          <w:bCs/>
          <w:iCs/>
        </w:rPr>
        <w:t>solicit</w:t>
      </w:r>
      <w:r w:rsidR="00804A25" w:rsidRPr="003227B6">
        <w:rPr>
          <w:bCs/>
          <w:iCs/>
        </w:rPr>
        <w:t xml:space="preserve"> physician scientists </w:t>
      </w:r>
      <w:r w:rsidR="001935BB">
        <w:rPr>
          <w:bCs/>
          <w:iCs/>
        </w:rPr>
        <w:t xml:space="preserve">favorable toward Neurontin </w:t>
      </w:r>
      <w:r w:rsidR="000067B4">
        <w:rPr>
          <w:bCs/>
          <w:iCs/>
        </w:rPr>
        <w:t xml:space="preserve">for </w:t>
      </w:r>
      <w:r w:rsidR="00DE0520" w:rsidRPr="003227B6">
        <w:rPr>
          <w:bCs/>
          <w:iCs/>
        </w:rPr>
        <w:t xml:space="preserve">disease advisory boards (exhibit 69) and </w:t>
      </w:r>
      <w:r w:rsidR="000067B4">
        <w:rPr>
          <w:bCs/>
          <w:iCs/>
        </w:rPr>
        <w:t xml:space="preserve">encouraged to </w:t>
      </w:r>
      <w:r w:rsidR="00C34499">
        <w:rPr>
          <w:bCs/>
          <w:iCs/>
        </w:rPr>
        <w:t>disseminate</w:t>
      </w:r>
      <w:r w:rsidR="00804A25" w:rsidRPr="003227B6">
        <w:rPr>
          <w:bCs/>
          <w:iCs/>
        </w:rPr>
        <w:t xml:space="preserve"> the emergent knowledge from their recent</w:t>
      </w:r>
      <w:r w:rsidR="0095666F">
        <w:rPr>
          <w:bCs/>
          <w:iCs/>
        </w:rPr>
        <w:t>ly</w:t>
      </w:r>
      <w:r w:rsidR="00804A25" w:rsidRPr="003227B6">
        <w:rPr>
          <w:bCs/>
          <w:iCs/>
        </w:rPr>
        <w:t xml:space="preserve"> “published” research as part of </w:t>
      </w:r>
      <w:r w:rsidR="00E83B6E" w:rsidRPr="003227B6">
        <w:rPr>
          <w:bCs/>
          <w:iCs/>
        </w:rPr>
        <w:t>surrogate</w:t>
      </w:r>
      <w:r w:rsidR="00DE0520" w:rsidRPr="003227B6">
        <w:rPr>
          <w:bCs/>
          <w:iCs/>
        </w:rPr>
        <w:t xml:space="preserve"> influence strategy </w:t>
      </w:r>
      <w:r w:rsidR="00DE0520" w:rsidRPr="003227B6">
        <w:rPr>
          <w:bCs/>
          <w:iCs/>
        </w:rPr>
        <w:lastRenderedPageBreak/>
        <w:t xml:space="preserve">(exhibit 34). </w:t>
      </w:r>
      <w:r w:rsidR="00804A25" w:rsidRPr="003227B6">
        <w:rPr>
          <w:bCs/>
          <w:iCs/>
        </w:rPr>
        <w:t xml:space="preserve"> </w:t>
      </w:r>
      <w:r w:rsidR="001935BB">
        <w:rPr>
          <w:bCs/>
          <w:iCs/>
        </w:rPr>
        <w:t xml:space="preserve">To broaden the reach of surrogate influence, </w:t>
      </w:r>
      <w:r w:rsidR="002F2ABB" w:rsidRPr="003227B6">
        <w:rPr>
          <w:bCs/>
          <w:iCs/>
        </w:rPr>
        <w:t>t</w:t>
      </w:r>
      <w:r w:rsidR="007034B2" w:rsidRPr="003227B6">
        <w:rPr>
          <w:bCs/>
          <w:iCs/>
        </w:rPr>
        <w:t xml:space="preserve">eleconferences were used to </w:t>
      </w:r>
      <w:r w:rsidR="001935BB">
        <w:rPr>
          <w:bCs/>
          <w:iCs/>
        </w:rPr>
        <w:t>connect Neurontin “champions” with over</w:t>
      </w:r>
      <w:r w:rsidR="007034B2" w:rsidRPr="003227B6">
        <w:rPr>
          <w:bCs/>
          <w:iCs/>
        </w:rPr>
        <w:t xml:space="preserve"> 1,000 physicians </w:t>
      </w:r>
      <w:r w:rsidR="001D34B8" w:rsidRPr="003227B6">
        <w:rPr>
          <w:bCs/>
          <w:iCs/>
        </w:rPr>
        <w:t xml:space="preserve">and facilitate the creation of 100 “Pain CME Case Study Groups” </w:t>
      </w:r>
      <w:r w:rsidR="001935BB">
        <w:rPr>
          <w:bCs/>
          <w:iCs/>
        </w:rPr>
        <w:t xml:space="preserve">to promote education </w:t>
      </w:r>
      <w:r w:rsidR="001D34B8" w:rsidRPr="003227B6">
        <w:rPr>
          <w:bCs/>
          <w:iCs/>
        </w:rPr>
        <w:t xml:space="preserve">as part of Parke Davis efforts to </w:t>
      </w:r>
      <w:r w:rsidR="001935BB">
        <w:rPr>
          <w:bCs/>
          <w:iCs/>
        </w:rPr>
        <w:t>increase</w:t>
      </w:r>
      <w:r w:rsidR="001D34B8" w:rsidRPr="003227B6">
        <w:rPr>
          <w:bCs/>
          <w:iCs/>
        </w:rPr>
        <w:t xml:space="preserve"> Neurontin’s off-label use for pain. </w:t>
      </w:r>
      <w:r w:rsidR="002345BF">
        <w:rPr>
          <w:bCs/>
          <w:iCs/>
        </w:rPr>
        <w:t xml:space="preserve">In an </w:t>
      </w:r>
      <w:r w:rsidR="00830C59">
        <w:rPr>
          <w:bCs/>
          <w:iCs/>
        </w:rPr>
        <w:t>expert testimony</w:t>
      </w:r>
      <w:r w:rsidR="002345BF">
        <w:rPr>
          <w:bCs/>
          <w:iCs/>
        </w:rPr>
        <w:t xml:space="preserve">, this interdependence is </w:t>
      </w:r>
      <w:r w:rsidR="000067B4">
        <w:rPr>
          <w:bCs/>
          <w:iCs/>
        </w:rPr>
        <w:t xml:space="preserve">noted </w:t>
      </w:r>
      <w:r w:rsidR="002345BF">
        <w:rPr>
          <w:bCs/>
          <w:iCs/>
        </w:rPr>
        <w:t>as follows:</w:t>
      </w:r>
      <w:r w:rsidR="00830C59">
        <w:rPr>
          <w:bCs/>
          <w:iCs/>
        </w:rPr>
        <w:t xml:space="preserve"> </w:t>
      </w:r>
    </w:p>
    <w:p w:rsidR="007910EE" w:rsidRDefault="005A567D" w:rsidP="001C496F">
      <w:pPr>
        <w:autoSpaceDE w:val="0"/>
        <w:autoSpaceDN w:val="0"/>
        <w:adjustRightInd w:val="0"/>
        <w:spacing w:after="240"/>
        <w:rPr>
          <w:bCs/>
          <w:i/>
          <w:iCs/>
        </w:rPr>
      </w:pPr>
      <w:r w:rsidRPr="005A567D">
        <w:rPr>
          <w:i/>
          <w:kern w:val="0"/>
        </w:rPr>
        <w:t xml:space="preserve">"Dr. </w:t>
      </w:r>
      <w:r w:rsidR="004723A6">
        <w:rPr>
          <w:i/>
          <w:kern w:val="0"/>
        </w:rPr>
        <w:t xml:space="preserve">X [name withheld] </w:t>
      </w:r>
      <w:r w:rsidR="0092785B" w:rsidRPr="005A567D">
        <w:rPr>
          <w:i/>
          <w:kern w:val="0"/>
        </w:rPr>
        <w:t>sponsored through an unrestricted educational</w:t>
      </w:r>
      <w:r w:rsidR="0092785B">
        <w:rPr>
          <w:i/>
          <w:kern w:val="0"/>
        </w:rPr>
        <w:t xml:space="preserve"> </w:t>
      </w:r>
      <w:r w:rsidR="0092785B" w:rsidRPr="005A567D">
        <w:rPr>
          <w:i/>
          <w:kern w:val="0"/>
        </w:rPr>
        <w:t xml:space="preserve">grant </w:t>
      </w:r>
      <w:r w:rsidRPr="005A567D">
        <w:rPr>
          <w:i/>
          <w:kern w:val="0"/>
        </w:rPr>
        <w:t>discloses participation on the speakers bureau for Parke-Davis [among other</w:t>
      </w:r>
      <w:r w:rsidR="004723A6">
        <w:rPr>
          <w:i/>
          <w:kern w:val="0"/>
        </w:rPr>
        <w:t xml:space="preserve"> </w:t>
      </w:r>
      <w:r w:rsidRPr="005A567D">
        <w:rPr>
          <w:i/>
          <w:kern w:val="0"/>
        </w:rPr>
        <w:t xml:space="preserve">affiliations], writes </w:t>
      </w:r>
      <w:r w:rsidR="0092785B">
        <w:rPr>
          <w:i/>
          <w:kern w:val="0"/>
        </w:rPr>
        <w:t xml:space="preserve">in a CME monograph that </w:t>
      </w:r>
      <w:r w:rsidRPr="005A567D">
        <w:rPr>
          <w:i/>
          <w:kern w:val="0"/>
        </w:rPr>
        <w:t>it is important not to under</w:t>
      </w:r>
      <w:r w:rsidR="0092785B">
        <w:rPr>
          <w:i/>
          <w:kern w:val="0"/>
        </w:rPr>
        <w:t xml:space="preserve"> </w:t>
      </w:r>
      <w:r w:rsidRPr="005A567D">
        <w:rPr>
          <w:i/>
          <w:kern w:val="0"/>
        </w:rPr>
        <w:t>dose gabapentin when managing PHN</w:t>
      </w:r>
      <w:r w:rsidR="0092785B">
        <w:rPr>
          <w:i/>
          <w:kern w:val="0"/>
        </w:rPr>
        <w:t>,</w:t>
      </w:r>
      <w:r w:rsidR="004723A6">
        <w:rPr>
          <w:i/>
          <w:kern w:val="0"/>
        </w:rPr>
        <w:t xml:space="preserve">” </w:t>
      </w:r>
      <w:r w:rsidR="00E45898" w:rsidRPr="00E45898">
        <w:rPr>
          <w:kern w:val="0"/>
        </w:rPr>
        <w:t>(Exhibit P).</w:t>
      </w:r>
    </w:p>
    <w:p w:rsidR="007910EE" w:rsidRDefault="000067B4" w:rsidP="007910EE">
      <w:pPr>
        <w:autoSpaceDE w:val="0"/>
        <w:autoSpaceDN w:val="0"/>
        <w:adjustRightInd w:val="0"/>
        <w:spacing w:line="480" w:lineRule="auto"/>
        <w:ind w:firstLine="720"/>
      </w:pPr>
      <w:r>
        <w:t xml:space="preserve">Parke Davis </w:t>
      </w:r>
      <w:r w:rsidR="00DE422B">
        <w:t xml:space="preserve">structured interdependencies between evidence and surrogate selling strategies by </w:t>
      </w:r>
      <w:r>
        <w:t>routinely reward</w:t>
      </w:r>
      <w:r w:rsidR="00DE422B">
        <w:t xml:space="preserve">ing </w:t>
      </w:r>
      <w:r>
        <w:t xml:space="preserve">physicians who were Neurontin </w:t>
      </w:r>
      <w:r w:rsidR="00DE422B">
        <w:t>champions</w:t>
      </w:r>
      <w:r>
        <w:t xml:space="preserve"> with </w:t>
      </w:r>
      <w:r w:rsidR="00DE422B">
        <w:t xml:space="preserve">privileged </w:t>
      </w:r>
      <w:r>
        <w:t>research grants.</w:t>
      </w:r>
      <w:r w:rsidR="00905E06" w:rsidRPr="0092785B">
        <w:rPr>
          <w:bCs/>
          <w:iCs/>
        </w:rPr>
        <w:t xml:space="preserve"> </w:t>
      </w:r>
      <w:r w:rsidR="00DE422B">
        <w:rPr>
          <w:bCs/>
          <w:iCs/>
        </w:rPr>
        <w:t xml:space="preserve">For instance, in </w:t>
      </w:r>
      <w:r w:rsidR="00DE422B">
        <w:t>a</w:t>
      </w:r>
      <w:r w:rsidR="004D2C7C">
        <w:t xml:space="preserve"> major phase IV trial, STEPS (</w:t>
      </w:r>
      <w:r w:rsidR="004D2C7C" w:rsidRPr="0092785B">
        <w:rPr>
          <w:b/>
          <w:bCs/>
        </w:rPr>
        <w:t>S</w:t>
      </w:r>
      <w:r w:rsidR="004D2C7C">
        <w:t xml:space="preserve">tudy of Neurontin: </w:t>
      </w:r>
      <w:r w:rsidR="004D2C7C" w:rsidRPr="0092785B">
        <w:rPr>
          <w:b/>
          <w:bCs/>
        </w:rPr>
        <w:t>T</w:t>
      </w:r>
      <w:r w:rsidR="004D2C7C">
        <w:t xml:space="preserve">itration to </w:t>
      </w:r>
      <w:r w:rsidR="004D2C7C" w:rsidRPr="0092785B">
        <w:rPr>
          <w:b/>
          <w:bCs/>
        </w:rPr>
        <w:t>E</w:t>
      </w:r>
      <w:r w:rsidR="004D2C7C">
        <w:t xml:space="preserve">ffectiveness and </w:t>
      </w:r>
      <w:r w:rsidR="004D2C7C" w:rsidRPr="0092785B">
        <w:rPr>
          <w:b/>
          <w:bCs/>
        </w:rPr>
        <w:t>P</w:t>
      </w:r>
      <w:r w:rsidR="004D2C7C">
        <w:t xml:space="preserve">rofile of </w:t>
      </w:r>
      <w:r w:rsidR="004D2C7C" w:rsidRPr="0092785B">
        <w:rPr>
          <w:b/>
          <w:bCs/>
        </w:rPr>
        <w:t>S</w:t>
      </w:r>
      <w:r w:rsidR="004D2C7C">
        <w:t>afety), recruited more than 700 physicians with payments of $300 for each patient enrolled, a strategy that resulted in a 20% increase in new patients and 3% increase in market share (exhibit 72).</w:t>
      </w:r>
      <w:r w:rsidR="00AF090E" w:rsidRPr="0092785B">
        <w:rPr>
          <w:bCs/>
          <w:iCs/>
        </w:rPr>
        <w:t xml:space="preserve"> </w:t>
      </w:r>
      <w:r w:rsidR="00D777BA" w:rsidRPr="0092785B">
        <w:rPr>
          <w:bCs/>
          <w:iCs/>
        </w:rPr>
        <w:t xml:space="preserve">Although Parke Davis limited the number of patients that physicians could recruit for the study to 10, it allowed </w:t>
      </w:r>
      <w:r w:rsidR="00FF3691">
        <w:t xml:space="preserve">leading physicians at large teaching hospitals or centers of influence (who had potential to sway a large number of their colleagues) to recruit </w:t>
      </w:r>
      <w:r w:rsidR="00531847">
        <w:t>up to</w:t>
      </w:r>
      <w:r w:rsidR="00FF3691">
        <w:t xml:space="preserve"> 50 patients each. Grants made to these thought leaders were to further Neurontin sales within the hospital and to use these physicians in surrogate selling programs (Exhibit 34). For instance, a request by Dr. X [name withheld] was approved because he was a “great Neurontin believer,” (Exhibit 85)</w:t>
      </w:r>
      <w:r w:rsidR="00DE422B">
        <w:t xml:space="preserve"> as noted</w:t>
      </w:r>
      <w:r w:rsidR="00E95089">
        <w:t xml:space="preserve"> in the following excerpt from an expert testimony:</w:t>
      </w:r>
    </w:p>
    <w:p w:rsidR="007910EE" w:rsidRDefault="00E95089" w:rsidP="001C496F">
      <w:pPr>
        <w:autoSpaceDE w:val="0"/>
        <w:autoSpaceDN w:val="0"/>
        <w:adjustRightInd w:val="0"/>
        <w:spacing w:after="240"/>
        <w:rPr>
          <w:bCs/>
          <w:iCs/>
          <w:kern w:val="0"/>
        </w:rPr>
      </w:pPr>
      <w:r>
        <w:rPr>
          <w:i/>
          <w:kern w:val="0"/>
        </w:rPr>
        <w:t>“</w:t>
      </w:r>
      <w:r w:rsidR="00516AD7" w:rsidRPr="00516AD7">
        <w:rPr>
          <w:i/>
          <w:kern w:val="0"/>
        </w:rPr>
        <w:t xml:space="preserve">Parke-Davis considered Dr. </w:t>
      </w:r>
      <w:r>
        <w:rPr>
          <w:i/>
          <w:kern w:val="0"/>
        </w:rPr>
        <w:t>X [name withheld]</w:t>
      </w:r>
      <w:r w:rsidR="00516AD7" w:rsidRPr="00516AD7">
        <w:rPr>
          <w:i/>
          <w:kern w:val="0"/>
        </w:rPr>
        <w:t xml:space="preserve"> a "key influencer" at</w:t>
      </w:r>
      <w:r>
        <w:rPr>
          <w:i/>
          <w:kern w:val="0"/>
        </w:rPr>
        <w:t xml:space="preserve"> </w:t>
      </w:r>
      <w:r w:rsidR="00516AD7" w:rsidRPr="00516AD7">
        <w:rPr>
          <w:i/>
          <w:kern w:val="0"/>
        </w:rPr>
        <w:t>one of Boston's "centers of influence" with the potential not only to increase his own</w:t>
      </w:r>
      <w:r>
        <w:rPr>
          <w:i/>
          <w:kern w:val="0"/>
        </w:rPr>
        <w:t xml:space="preserve"> </w:t>
      </w:r>
      <w:r w:rsidR="00516AD7" w:rsidRPr="00516AD7">
        <w:rPr>
          <w:i/>
          <w:kern w:val="0"/>
        </w:rPr>
        <w:t xml:space="preserve">Neurontin </w:t>
      </w:r>
      <w:r>
        <w:rPr>
          <w:i/>
          <w:kern w:val="0"/>
        </w:rPr>
        <w:t>p</w:t>
      </w:r>
      <w:r w:rsidR="00516AD7" w:rsidRPr="00516AD7">
        <w:rPr>
          <w:i/>
          <w:kern w:val="0"/>
        </w:rPr>
        <w:t>rescriptions, but to influence his peers' Neurontin prescribing at New</w:t>
      </w:r>
      <w:r>
        <w:rPr>
          <w:i/>
          <w:kern w:val="0"/>
        </w:rPr>
        <w:t xml:space="preserve"> </w:t>
      </w:r>
      <w:r w:rsidR="00516AD7" w:rsidRPr="00516AD7">
        <w:rPr>
          <w:i/>
          <w:kern w:val="0"/>
        </w:rPr>
        <w:t xml:space="preserve">England Medical Center. Dr. </w:t>
      </w:r>
      <w:r>
        <w:rPr>
          <w:i/>
          <w:kern w:val="0"/>
        </w:rPr>
        <w:t>X</w:t>
      </w:r>
      <w:r w:rsidR="00516AD7" w:rsidRPr="00516AD7">
        <w:rPr>
          <w:i/>
          <w:kern w:val="0"/>
        </w:rPr>
        <w:t xml:space="preserve"> was offered money to conduct a study on</w:t>
      </w:r>
      <w:r>
        <w:rPr>
          <w:i/>
          <w:kern w:val="0"/>
        </w:rPr>
        <w:t xml:space="preserve"> </w:t>
      </w:r>
      <w:r w:rsidR="00516AD7" w:rsidRPr="00516AD7">
        <w:rPr>
          <w:i/>
          <w:kern w:val="0"/>
        </w:rPr>
        <w:t xml:space="preserve">Neurontin's use for restless leg. After the payment was made, Dr. </w:t>
      </w:r>
      <w:r>
        <w:rPr>
          <w:i/>
          <w:kern w:val="0"/>
        </w:rPr>
        <w:t>X</w:t>
      </w:r>
      <w:r w:rsidR="00516AD7" w:rsidRPr="00516AD7">
        <w:rPr>
          <w:i/>
          <w:kern w:val="0"/>
        </w:rPr>
        <w:t xml:space="preserve"> placed</w:t>
      </w:r>
      <w:r>
        <w:rPr>
          <w:i/>
          <w:kern w:val="0"/>
        </w:rPr>
        <w:t xml:space="preserve"> </w:t>
      </w:r>
      <w:r w:rsidR="00516AD7" w:rsidRPr="00516AD7">
        <w:rPr>
          <w:i/>
          <w:kern w:val="0"/>
        </w:rPr>
        <w:t>more than 160 patients (non-study patients) on Neurontin</w:t>
      </w:r>
      <w:r>
        <w:rPr>
          <w:i/>
          <w:kern w:val="0"/>
        </w:rPr>
        <w:t xml:space="preserve">,” </w:t>
      </w:r>
      <w:r>
        <w:rPr>
          <w:kern w:val="0"/>
        </w:rPr>
        <w:t xml:space="preserve">(Exhibit </w:t>
      </w:r>
      <w:r w:rsidR="00D32470">
        <w:rPr>
          <w:kern w:val="0"/>
        </w:rPr>
        <w:t>85</w:t>
      </w:r>
      <w:r>
        <w:rPr>
          <w:kern w:val="0"/>
        </w:rPr>
        <w:t>).</w:t>
      </w:r>
    </w:p>
    <w:p w:rsidR="007910EE" w:rsidRDefault="007910EE" w:rsidP="007910EE">
      <w:pPr>
        <w:pStyle w:val="StyleLinespacingDouble"/>
        <w:rPr>
          <w:bCs/>
          <w:iCs/>
          <w:kern w:val="0"/>
          <w:sz w:val="22"/>
          <w:szCs w:val="22"/>
        </w:rPr>
      </w:pPr>
      <w:r w:rsidRPr="007910EE">
        <w:rPr>
          <w:b/>
          <w:bCs/>
          <w:i/>
          <w:iCs/>
        </w:rPr>
        <w:t>Promotion based interdependencies</w:t>
      </w:r>
      <w:r w:rsidR="00DE422B">
        <w:rPr>
          <w:bCs/>
          <w:iCs/>
        </w:rPr>
        <w:t>.</w:t>
      </w:r>
      <w:r w:rsidR="00F33FDE">
        <w:rPr>
          <w:bCs/>
          <w:iCs/>
        </w:rPr>
        <w:t xml:space="preserve">  </w:t>
      </w:r>
      <w:r w:rsidR="00853709">
        <w:rPr>
          <w:bCs/>
          <w:iCs/>
        </w:rPr>
        <w:t xml:space="preserve">To </w:t>
      </w:r>
      <w:r w:rsidR="00DE422B">
        <w:rPr>
          <w:bCs/>
          <w:iCs/>
        </w:rPr>
        <w:t>structure</w:t>
      </w:r>
      <w:r w:rsidR="00853709">
        <w:rPr>
          <w:bCs/>
          <w:iCs/>
        </w:rPr>
        <w:t xml:space="preserve"> these interdepende</w:t>
      </w:r>
      <w:r w:rsidR="00853709" w:rsidRPr="00F33FDE">
        <w:rPr>
          <w:bCs/>
          <w:iCs/>
        </w:rPr>
        <w:t>n</w:t>
      </w:r>
      <w:r w:rsidR="00853709">
        <w:rPr>
          <w:bCs/>
          <w:iCs/>
        </w:rPr>
        <w:t xml:space="preserve">cies, </w:t>
      </w:r>
      <w:r w:rsidR="00102187">
        <w:rPr>
          <w:bCs/>
          <w:iCs/>
        </w:rPr>
        <w:t xml:space="preserve">Parke </w:t>
      </w:r>
      <w:r w:rsidR="00102187" w:rsidRPr="00F33FDE">
        <w:rPr>
          <w:bCs/>
          <w:iCs/>
        </w:rPr>
        <w:t>D</w:t>
      </w:r>
      <w:r w:rsidR="00102187">
        <w:rPr>
          <w:bCs/>
          <w:iCs/>
        </w:rPr>
        <w:t xml:space="preserve">avis regularly </w:t>
      </w:r>
      <w:r w:rsidR="00853709">
        <w:rPr>
          <w:bCs/>
          <w:iCs/>
        </w:rPr>
        <w:t>an</w:t>
      </w:r>
      <w:r w:rsidR="00853709" w:rsidRPr="00F33FDE">
        <w:rPr>
          <w:bCs/>
          <w:iCs/>
        </w:rPr>
        <w:t>a</w:t>
      </w:r>
      <w:r w:rsidR="00853709">
        <w:rPr>
          <w:bCs/>
          <w:iCs/>
        </w:rPr>
        <w:t xml:space="preserve">lyzed and </w:t>
      </w:r>
      <w:r w:rsidR="00853709" w:rsidRPr="00F33FDE">
        <w:rPr>
          <w:bCs/>
          <w:iCs/>
        </w:rPr>
        <w:t>t</w:t>
      </w:r>
      <w:r w:rsidR="00853709">
        <w:rPr>
          <w:bCs/>
          <w:iCs/>
        </w:rPr>
        <w:t xml:space="preserve">racked </w:t>
      </w:r>
      <w:r w:rsidR="00102187">
        <w:rPr>
          <w:bCs/>
          <w:iCs/>
        </w:rPr>
        <w:t xml:space="preserve">market research data </w:t>
      </w:r>
      <w:r w:rsidR="00853709">
        <w:rPr>
          <w:bCs/>
          <w:iCs/>
        </w:rPr>
        <w:t xml:space="preserve">on physicians’ prescription behaviors and </w:t>
      </w:r>
      <w:r w:rsidR="00D9678B">
        <w:rPr>
          <w:bCs/>
          <w:iCs/>
        </w:rPr>
        <w:t xml:space="preserve">patients’ </w:t>
      </w:r>
      <w:r w:rsidR="00866C12">
        <w:rPr>
          <w:bCs/>
          <w:iCs/>
        </w:rPr>
        <w:t>prescription filling</w:t>
      </w:r>
      <w:r w:rsidR="00D9678B">
        <w:rPr>
          <w:bCs/>
          <w:iCs/>
        </w:rPr>
        <w:t xml:space="preserve"> </w:t>
      </w:r>
      <w:r w:rsidR="00DE422B">
        <w:rPr>
          <w:bCs/>
          <w:iCs/>
        </w:rPr>
        <w:t xml:space="preserve">to bolster the sales efforts in direct interactions with targeted physicians </w:t>
      </w:r>
      <w:r w:rsidR="00102187">
        <w:rPr>
          <w:bCs/>
          <w:iCs/>
        </w:rPr>
        <w:t xml:space="preserve">(Exhibit </w:t>
      </w:r>
      <w:r w:rsidR="00102187" w:rsidRPr="00F33FDE">
        <w:rPr>
          <w:bCs/>
          <w:iCs/>
        </w:rPr>
        <w:t xml:space="preserve">132). </w:t>
      </w:r>
      <w:r w:rsidR="003E2BAB">
        <w:rPr>
          <w:bCs/>
          <w:iCs/>
        </w:rPr>
        <w:t xml:space="preserve">For instance, </w:t>
      </w:r>
      <w:r w:rsidR="00CA4916" w:rsidRPr="00F33FDE">
        <w:rPr>
          <w:bCs/>
          <w:iCs/>
        </w:rPr>
        <w:t>P</w:t>
      </w:r>
      <w:r w:rsidR="00CA4916">
        <w:rPr>
          <w:bCs/>
          <w:iCs/>
        </w:rPr>
        <w:t>arke Davis used consultant and dinner</w:t>
      </w:r>
      <w:r w:rsidR="00D32470">
        <w:rPr>
          <w:bCs/>
          <w:iCs/>
        </w:rPr>
        <w:t xml:space="preserve"> </w:t>
      </w:r>
      <w:r w:rsidR="00CA4916">
        <w:rPr>
          <w:bCs/>
          <w:iCs/>
        </w:rPr>
        <w:t xml:space="preserve">meetings to wine </w:t>
      </w:r>
      <w:r w:rsidR="00CA4916">
        <w:rPr>
          <w:bCs/>
          <w:iCs/>
        </w:rPr>
        <w:lastRenderedPageBreak/>
        <w:t xml:space="preserve">and dine high decile doctors to provide them with information about off-label uses of Neurontin.  </w:t>
      </w:r>
      <w:r w:rsidR="0009223D">
        <w:rPr>
          <w:bCs/>
          <w:iCs/>
        </w:rPr>
        <w:t xml:space="preserve">Internal documents revealed that the invitation to attend these meetings was </w:t>
      </w:r>
      <w:r w:rsidR="0009223D">
        <w:t xml:space="preserve">based </w:t>
      </w:r>
      <w:r w:rsidR="003E2BAB">
        <w:t xml:space="preserve">solely </w:t>
      </w:r>
      <w:r w:rsidR="0009223D">
        <w:t>on high rates of prescribing (exhibit 17) and attendees were provided a “hard hitting message about Neurontin,” (exhibit 69).</w:t>
      </w:r>
      <w:r w:rsidR="00A065D9">
        <w:t xml:space="preserve"> </w:t>
      </w:r>
      <w:r w:rsidR="00CA4916">
        <w:rPr>
          <w:bCs/>
          <w:iCs/>
        </w:rPr>
        <w:t xml:space="preserve">One such meeting at the Jupiter Beach, Florida was set up to </w:t>
      </w:r>
      <w:r w:rsidR="003E2BAB">
        <w:rPr>
          <w:bCs/>
          <w:iCs/>
        </w:rPr>
        <w:t>expose</w:t>
      </w:r>
      <w:r w:rsidR="00CA4916">
        <w:rPr>
          <w:bCs/>
          <w:iCs/>
        </w:rPr>
        <w:t xml:space="preserve"> </w:t>
      </w:r>
      <w:r w:rsidR="00D32470">
        <w:rPr>
          <w:bCs/>
          <w:iCs/>
        </w:rPr>
        <w:t>100</w:t>
      </w:r>
      <w:r w:rsidR="00CA4916">
        <w:rPr>
          <w:bCs/>
          <w:iCs/>
        </w:rPr>
        <w:t xml:space="preserve"> physicians with the “greatest potential” to prescribe Neurontin</w:t>
      </w:r>
      <w:r w:rsidR="004258D6">
        <w:rPr>
          <w:bCs/>
          <w:iCs/>
        </w:rPr>
        <w:t>,</w:t>
      </w:r>
      <w:r w:rsidR="00776CBD">
        <w:rPr>
          <w:bCs/>
          <w:iCs/>
        </w:rPr>
        <w:t xml:space="preserve">” (Exhibit 49; 53). </w:t>
      </w:r>
      <w:r w:rsidR="00CA4916">
        <w:rPr>
          <w:bCs/>
          <w:iCs/>
        </w:rPr>
        <w:t xml:space="preserve"> </w:t>
      </w:r>
      <w:r w:rsidR="00776CBD">
        <w:rPr>
          <w:bCs/>
          <w:iCs/>
        </w:rPr>
        <w:t>Area business managers were provided with trending work sheets to track the pre</w:t>
      </w:r>
      <w:r w:rsidR="003E2BAB">
        <w:rPr>
          <w:bCs/>
          <w:iCs/>
        </w:rPr>
        <w:t>-</w:t>
      </w:r>
      <w:r w:rsidR="00776CBD">
        <w:rPr>
          <w:bCs/>
          <w:iCs/>
        </w:rPr>
        <w:t xml:space="preserve"> and post</w:t>
      </w:r>
      <w:r w:rsidR="003E2BAB">
        <w:rPr>
          <w:bCs/>
          <w:iCs/>
        </w:rPr>
        <w:t>-</w:t>
      </w:r>
      <w:r w:rsidR="00776CBD">
        <w:rPr>
          <w:bCs/>
          <w:iCs/>
        </w:rPr>
        <w:t xml:space="preserve">meeting prescription </w:t>
      </w:r>
      <w:r w:rsidR="003E2BAB">
        <w:rPr>
          <w:bCs/>
          <w:iCs/>
        </w:rPr>
        <w:t xml:space="preserve">writing by </w:t>
      </w:r>
      <w:r w:rsidR="00776CBD">
        <w:rPr>
          <w:bCs/>
          <w:iCs/>
        </w:rPr>
        <w:t>participants</w:t>
      </w:r>
      <w:r w:rsidR="00684852">
        <w:rPr>
          <w:bCs/>
          <w:iCs/>
        </w:rPr>
        <w:t xml:space="preserve"> (Exhibit 54)</w:t>
      </w:r>
      <w:r w:rsidR="00776CBD">
        <w:rPr>
          <w:bCs/>
          <w:iCs/>
        </w:rPr>
        <w:t xml:space="preserve">.  </w:t>
      </w:r>
      <w:r w:rsidR="003E2BAB">
        <w:rPr>
          <w:bCs/>
          <w:iCs/>
        </w:rPr>
        <w:t>T</w:t>
      </w:r>
      <w:r w:rsidR="00983499">
        <w:rPr>
          <w:bCs/>
          <w:iCs/>
        </w:rPr>
        <w:t xml:space="preserve">he Neurontin Marketing team </w:t>
      </w:r>
      <w:r w:rsidR="007E6FC1">
        <w:rPr>
          <w:bCs/>
          <w:iCs/>
        </w:rPr>
        <w:t xml:space="preserve">monitored the attendance and </w:t>
      </w:r>
      <w:r w:rsidR="00AE5B8A">
        <w:rPr>
          <w:bCs/>
          <w:iCs/>
        </w:rPr>
        <w:t>provided attendee</w:t>
      </w:r>
      <w:r w:rsidR="003E2BAB">
        <w:rPr>
          <w:bCs/>
          <w:iCs/>
        </w:rPr>
        <w:t xml:space="preserve"> names</w:t>
      </w:r>
      <w:r w:rsidR="00AE5B8A">
        <w:rPr>
          <w:bCs/>
          <w:iCs/>
        </w:rPr>
        <w:t xml:space="preserve"> to territory managers for follow-up. T</w:t>
      </w:r>
      <w:r w:rsidR="00983499">
        <w:rPr>
          <w:bCs/>
          <w:iCs/>
        </w:rPr>
        <w:t xml:space="preserve">he following memo to area business managers </w:t>
      </w:r>
      <w:r w:rsidR="00AE5B8A">
        <w:rPr>
          <w:bCs/>
          <w:iCs/>
        </w:rPr>
        <w:t xml:space="preserve">illustrates the penetration-surrogate interdependencies. </w:t>
      </w:r>
    </w:p>
    <w:p w:rsidR="00BC0946" w:rsidRPr="00531847" w:rsidRDefault="007E4613" w:rsidP="001C496F">
      <w:pPr>
        <w:autoSpaceDE w:val="0"/>
        <w:autoSpaceDN w:val="0"/>
        <w:adjustRightInd w:val="0"/>
        <w:rPr>
          <w:bCs/>
          <w:iCs/>
          <w:kern w:val="0"/>
        </w:rPr>
      </w:pPr>
      <w:r>
        <w:rPr>
          <w:bCs/>
          <w:iCs/>
          <w:kern w:val="0"/>
        </w:rPr>
        <w:t>“</w:t>
      </w:r>
      <w:r>
        <w:rPr>
          <w:bCs/>
          <w:i/>
          <w:iCs/>
          <w:kern w:val="0"/>
        </w:rPr>
        <w:t>Attached is the Trending Worksheet for the recent Neurontin Consultants Program in Jupiter Beach, Florida. The attendees from your district are listed. This tool is very valuable in tracking the value of participating in this program</w:t>
      </w:r>
      <w:r w:rsidR="00D32470">
        <w:rPr>
          <w:bCs/>
          <w:i/>
          <w:iCs/>
          <w:kern w:val="0"/>
        </w:rPr>
        <w:t>,</w:t>
      </w:r>
      <w:r>
        <w:rPr>
          <w:bCs/>
          <w:i/>
          <w:iCs/>
          <w:kern w:val="0"/>
        </w:rPr>
        <w:t xml:space="preserve">” </w:t>
      </w:r>
      <w:r>
        <w:rPr>
          <w:bCs/>
          <w:iCs/>
          <w:kern w:val="0"/>
        </w:rPr>
        <w:t xml:space="preserve">(Exhibit 54). </w:t>
      </w:r>
    </w:p>
    <w:p w:rsidR="00983499" w:rsidRPr="00531847" w:rsidRDefault="00983499" w:rsidP="00983499">
      <w:pPr>
        <w:autoSpaceDE w:val="0"/>
        <w:autoSpaceDN w:val="0"/>
        <w:adjustRightInd w:val="0"/>
        <w:ind w:left="1080"/>
        <w:rPr>
          <w:bCs/>
          <w:iCs/>
        </w:rPr>
      </w:pPr>
    </w:p>
    <w:p w:rsidR="007910EE" w:rsidRDefault="003E2BAB" w:rsidP="007910EE">
      <w:pPr>
        <w:pStyle w:val="StyleLinespacingDouble"/>
        <w:rPr>
          <w:bCs/>
          <w:i/>
          <w:iCs/>
          <w:kern w:val="0"/>
        </w:rPr>
      </w:pPr>
      <w:r>
        <w:rPr>
          <w:bCs/>
          <w:iCs/>
        </w:rPr>
        <w:t xml:space="preserve">In another form of promotion interdependence, </w:t>
      </w:r>
      <w:r w:rsidR="007E4613">
        <w:rPr>
          <w:bCs/>
          <w:iCs/>
        </w:rPr>
        <w:t>Parke Davis targeted thought leaders from large teaching hospitals who have the greatest potential to write Neurontin prescriptions</w:t>
      </w:r>
      <w:r w:rsidR="00D32470">
        <w:rPr>
          <w:bCs/>
          <w:iCs/>
        </w:rPr>
        <w:t xml:space="preserve">. </w:t>
      </w:r>
      <w:r w:rsidR="00D32470">
        <w:t>S</w:t>
      </w:r>
      <w:r w:rsidR="00850F47">
        <w:t xml:space="preserve">ales people </w:t>
      </w:r>
      <w:r w:rsidR="00D32470">
        <w:t xml:space="preserve">were reminded </w:t>
      </w:r>
      <w:r w:rsidR="00850F47">
        <w:t xml:space="preserve">that “the key influencers should be …kept aware of the availability of research opportunities in clinical trials,” (exhibit 24).  </w:t>
      </w:r>
      <w:r w:rsidR="007E4613">
        <w:rPr>
          <w:bCs/>
          <w:iCs/>
        </w:rPr>
        <w:t xml:space="preserve">Territory managers and medical liaisons used published evidence </w:t>
      </w:r>
      <w:r w:rsidR="00D32470">
        <w:rPr>
          <w:bCs/>
          <w:iCs/>
        </w:rPr>
        <w:t xml:space="preserve">garnered from such grants </w:t>
      </w:r>
      <w:r w:rsidR="007E4613">
        <w:rPr>
          <w:bCs/>
          <w:iCs/>
        </w:rPr>
        <w:t xml:space="preserve">to persuade </w:t>
      </w:r>
      <w:r w:rsidR="004253C9">
        <w:rPr>
          <w:bCs/>
          <w:iCs/>
        </w:rPr>
        <w:t xml:space="preserve">targeted </w:t>
      </w:r>
      <w:r w:rsidR="007E4613">
        <w:rPr>
          <w:bCs/>
          <w:iCs/>
        </w:rPr>
        <w:t>physicians to write prescriptions favoring the company. A territory manager from Parke Davis explains th</w:t>
      </w:r>
      <w:r>
        <w:rPr>
          <w:bCs/>
          <w:iCs/>
        </w:rPr>
        <w:t>u</w:t>
      </w:r>
      <w:r w:rsidR="007970BD">
        <w:rPr>
          <w:bCs/>
          <w:iCs/>
        </w:rPr>
        <w:t>s</w:t>
      </w:r>
      <w:r w:rsidR="007E4613">
        <w:rPr>
          <w:bCs/>
          <w:iCs/>
        </w:rPr>
        <w:t xml:space="preserve">: </w:t>
      </w:r>
    </w:p>
    <w:p w:rsidR="00531847" w:rsidRDefault="007E4613" w:rsidP="001C496F">
      <w:pPr>
        <w:autoSpaceDE w:val="0"/>
        <w:autoSpaceDN w:val="0"/>
        <w:adjustRightInd w:val="0"/>
        <w:rPr>
          <w:bCs/>
          <w:iCs/>
          <w:kern w:val="0"/>
        </w:rPr>
      </w:pPr>
      <w:r>
        <w:rPr>
          <w:bCs/>
          <w:iCs/>
        </w:rPr>
        <w:t>“</w:t>
      </w:r>
      <w:r>
        <w:rPr>
          <w:bCs/>
          <w:i/>
          <w:iCs/>
          <w:kern w:val="0"/>
        </w:rPr>
        <w:t xml:space="preserve">Medical liaison </w:t>
      </w:r>
      <w:r w:rsidR="00270E5E">
        <w:rPr>
          <w:bCs/>
          <w:i/>
          <w:iCs/>
          <w:kern w:val="0"/>
        </w:rPr>
        <w:t>A</w:t>
      </w:r>
      <w:r>
        <w:rPr>
          <w:bCs/>
          <w:i/>
          <w:iCs/>
          <w:kern w:val="0"/>
        </w:rPr>
        <w:t xml:space="preserve"> [name withheld]</w:t>
      </w:r>
      <w:r w:rsidR="003E2BAB">
        <w:rPr>
          <w:bCs/>
          <w:i/>
          <w:iCs/>
          <w:kern w:val="0"/>
        </w:rPr>
        <w:t xml:space="preserve"> </w:t>
      </w:r>
      <w:r>
        <w:rPr>
          <w:bCs/>
          <w:i/>
          <w:iCs/>
          <w:kern w:val="0"/>
        </w:rPr>
        <w:t>and I went to see Dr. X [name withheld] last July...</w:t>
      </w:r>
      <w:r w:rsidRPr="007E4613">
        <w:rPr>
          <w:bCs/>
          <w:i/>
          <w:iCs/>
          <w:kern w:val="0"/>
        </w:rPr>
        <w:t xml:space="preserve"> and we brought Y's data with us on restless leg. We showe</w:t>
      </w:r>
      <w:r w:rsidR="00516AD7" w:rsidRPr="00516AD7">
        <w:rPr>
          <w:bCs/>
          <w:i/>
          <w:iCs/>
          <w:kern w:val="0"/>
          <w:sz w:val="22"/>
          <w:szCs w:val="22"/>
        </w:rPr>
        <w:t>d</w:t>
      </w:r>
      <w:r w:rsidR="00F6518F" w:rsidRPr="00F6518F">
        <w:rPr>
          <w:i/>
          <w:kern w:val="0"/>
        </w:rPr>
        <w:t xml:space="preserve"> him tha</w:t>
      </w:r>
      <w:r w:rsidR="007E6FC1">
        <w:rPr>
          <w:i/>
          <w:kern w:val="0"/>
        </w:rPr>
        <w:t>t…</w:t>
      </w:r>
      <w:r w:rsidR="00F6518F" w:rsidRPr="00F6518F">
        <w:rPr>
          <w:i/>
          <w:kern w:val="0"/>
        </w:rPr>
        <w:t xml:space="preserve"> </w:t>
      </w:r>
      <w:r w:rsidR="0085051A" w:rsidRPr="00F6518F">
        <w:rPr>
          <w:bCs/>
          <w:i/>
          <w:iCs/>
          <w:kern w:val="0"/>
        </w:rPr>
        <w:t xml:space="preserve">right after we talked to him, he began to try Neurontin </w:t>
      </w:r>
      <w:r w:rsidR="007970BD">
        <w:rPr>
          <w:bCs/>
          <w:i/>
          <w:iCs/>
          <w:kern w:val="0"/>
        </w:rPr>
        <w:t>on patients that he just started on</w:t>
      </w:r>
      <w:r w:rsidR="0085051A" w:rsidRPr="00F6518F">
        <w:rPr>
          <w:bCs/>
          <w:i/>
          <w:iCs/>
          <w:kern w:val="0"/>
        </w:rPr>
        <w:t>,</w:t>
      </w:r>
      <w:r w:rsidR="000B6722" w:rsidRPr="00F6518F">
        <w:rPr>
          <w:bCs/>
          <w:iCs/>
          <w:kern w:val="0"/>
        </w:rPr>
        <w:t>”</w:t>
      </w:r>
      <w:r w:rsidR="0085051A" w:rsidRPr="00F6518F">
        <w:rPr>
          <w:bCs/>
          <w:iCs/>
          <w:kern w:val="0"/>
        </w:rPr>
        <w:t xml:space="preserve"> (Exhibit A).</w:t>
      </w:r>
    </w:p>
    <w:p w:rsidR="00531847" w:rsidRPr="00F6518F" w:rsidRDefault="00531847" w:rsidP="007E6FC1">
      <w:pPr>
        <w:autoSpaceDE w:val="0"/>
        <w:autoSpaceDN w:val="0"/>
        <w:adjustRightInd w:val="0"/>
        <w:ind w:left="1080"/>
        <w:rPr>
          <w:bCs/>
          <w:iCs/>
          <w:kern w:val="0"/>
        </w:rPr>
      </w:pPr>
    </w:p>
    <w:p w:rsidR="007910EE" w:rsidRDefault="00D06ACC" w:rsidP="007910EE">
      <w:pPr>
        <w:spacing w:line="480" w:lineRule="auto"/>
        <w:ind w:firstLine="720"/>
      </w:pPr>
      <w:r>
        <w:t xml:space="preserve">Internal documents </w:t>
      </w:r>
      <w:r w:rsidR="00270E5E">
        <w:t xml:space="preserve">also </w:t>
      </w:r>
      <w:r>
        <w:t xml:space="preserve">illuminate the </w:t>
      </w:r>
      <w:r w:rsidR="00270E5E">
        <w:t xml:space="preserve">interdependence between </w:t>
      </w:r>
      <w:r>
        <w:t>penetration</w:t>
      </w:r>
      <w:r w:rsidR="00270E5E">
        <w:t xml:space="preserve"> and </w:t>
      </w:r>
      <w:r>
        <w:t xml:space="preserve">education </w:t>
      </w:r>
      <w:r w:rsidR="00270E5E">
        <w:t>strategies</w:t>
      </w:r>
      <w:r>
        <w:t>. For instance, exhibit 39 states that “medical education supports the Neurontin promotional campaign and supplements field sales efforts providing physicians with the opportunity to share their experiences and to learn from key thought leaders how to successfully use Neurontin in clinical practice</w:t>
      </w:r>
      <w:r w:rsidR="00531847">
        <w:t>.</w:t>
      </w:r>
      <w:r>
        <w:t xml:space="preserve">” </w:t>
      </w:r>
      <w:r w:rsidR="00270E5E">
        <w:t xml:space="preserve">As noted above, Parke-Davis </w:t>
      </w:r>
      <w:r>
        <w:t xml:space="preserve">used commercial companies </w:t>
      </w:r>
      <w:r w:rsidR="000B6722">
        <w:t xml:space="preserve">to monitor pre and post prescription behavior of attendants to Educational Teleconferences </w:t>
      </w:r>
      <w:r w:rsidR="00270E5E">
        <w:t xml:space="preserve">using a Promo Trak methodology </w:t>
      </w:r>
      <w:r w:rsidR="000B6722">
        <w:t xml:space="preserve">(exhibit 79). This data was provided to sales </w:t>
      </w:r>
      <w:r w:rsidR="000B6722">
        <w:lastRenderedPageBreak/>
        <w:t>people to find new prospects as well as fine tune current market penetration efforts.</w:t>
      </w:r>
      <w:r>
        <w:t xml:space="preserve"> </w:t>
      </w:r>
      <w:r w:rsidR="00D32542">
        <w:t>An expert testimony describes how the penetration-education interdependencies were carried out:</w:t>
      </w:r>
    </w:p>
    <w:p w:rsidR="007910EE" w:rsidRDefault="007970BD" w:rsidP="001C496F">
      <w:pPr>
        <w:autoSpaceDE w:val="0"/>
        <w:autoSpaceDN w:val="0"/>
        <w:adjustRightInd w:val="0"/>
        <w:spacing w:after="240"/>
        <w:rPr>
          <w:bCs/>
          <w:i/>
          <w:iCs/>
        </w:rPr>
      </w:pPr>
      <w:r>
        <w:rPr>
          <w:bCs/>
          <w:iCs/>
        </w:rPr>
        <w:t>“</w:t>
      </w:r>
      <w:r w:rsidR="00D32542" w:rsidRPr="00D32542">
        <w:rPr>
          <w:bCs/>
          <w:i/>
          <w:iCs/>
        </w:rPr>
        <w:t xml:space="preserve"> An unrestricted educational grant for $303,740 was granted to </w:t>
      </w:r>
      <w:r w:rsidR="00D32542" w:rsidRPr="00D32542">
        <w:rPr>
          <w:i/>
          <w:kern w:val="0"/>
        </w:rPr>
        <w:t xml:space="preserve">Handbooks in Health Care Co. for </w:t>
      </w:r>
      <w:r w:rsidR="00D32542" w:rsidRPr="00D32542">
        <w:rPr>
          <w:bCs/>
          <w:i/>
          <w:iCs/>
        </w:rPr>
        <w:t>the production of</w:t>
      </w:r>
      <w:r w:rsidR="00D32542">
        <w:rPr>
          <w:bCs/>
          <w:i/>
          <w:iCs/>
        </w:rPr>
        <w:t xml:space="preserve"> 75,000 copies of an epilepsy handbook. Approximately 96,000 high prescribers of anticonvulsant agents were identified as targets for this book and territory managers were instructed to introduce the book to high prescribers in their territory</w:t>
      </w:r>
      <w:r>
        <w:rPr>
          <w:bCs/>
          <w:i/>
          <w:iCs/>
        </w:rPr>
        <w:t>,”</w:t>
      </w:r>
      <w:r w:rsidR="00D32542">
        <w:rPr>
          <w:bCs/>
          <w:i/>
          <w:iCs/>
        </w:rPr>
        <w:t xml:space="preserve"> </w:t>
      </w:r>
      <w:r w:rsidR="00D32542" w:rsidRPr="00D32542">
        <w:rPr>
          <w:bCs/>
          <w:iCs/>
        </w:rPr>
        <w:t>(Exhibit B; Exhibit 90).</w:t>
      </w:r>
      <w:r w:rsidR="00D32542">
        <w:rPr>
          <w:bCs/>
          <w:i/>
          <w:iCs/>
        </w:rPr>
        <w:t xml:space="preserve">  </w:t>
      </w:r>
      <w:r w:rsidR="00D32542" w:rsidRPr="00D32542">
        <w:rPr>
          <w:bCs/>
          <w:i/>
          <w:iCs/>
        </w:rPr>
        <w:t xml:space="preserve"> </w:t>
      </w:r>
    </w:p>
    <w:p w:rsidR="007300FB" w:rsidRPr="00FE0909" w:rsidRDefault="0022137C" w:rsidP="0022291A">
      <w:pPr>
        <w:pStyle w:val="StyleLinespacingDouble"/>
        <w:ind w:firstLine="0"/>
        <w:outlineLvl w:val="0"/>
        <w:rPr>
          <w:b/>
          <w:i/>
        </w:rPr>
      </w:pPr>
      <w:r w:rsidRPr="00FE0909">
        <w:rPr>
          <w:b/>
          <w:bCs/>
          <w:i/>
          <w:iCs/>
          <w:kern w:val="0"/>
        </w:rPr>
        <w:t xml:space="preserve">Marketing Strategies and </w:t>
      </w:r>
      <w:r w:rsidRPr="00FE0909">
        <w:rPr>
          <w:b/>
          <w:i/>
        </w:rPr>
        <w:t>Conflicted Logics</w:t>
      </w:r>
      <w:r w:rsidRPr="00FE0909">
        <w:rPr>
          <w:b/>
          <w:bCs/>
          <w:i/>
          <w:iCs/>
        </w:rPr>
        <w:t xml:space="preserve"> in the </w:t>
      </w:r>
      <w:r w:rsidRPr="00FE0909">
        <w:rPr>
          <w:b/>
          <w:i/>
        </w:rPr>
        <w:t xml:space="preserve">Pharmaceutical Value Chain  </w:t>
      </w:r>
    </w:p>
    <w:p w:rsidR="00FF51F2" w:rsidRDefault="00FF51F2" w:rsidP="00AC356C">
      <w:pPr>
        <w:pStyle w:val="StyleLinespacingDouble"/>
      </w:pPr>
      <w:r>
        <w:t>Our analysis reveals that t</w:t>
      </w:r>
      <w:r w:rsidR="00F74B2F">
        <w:t>he</w:t>
      </w:r>
      <w:r w:rsidR="007A509A">
        <w:t xml:space="preserve"> </w:t>
      </w:r>
      <w:r w:rsidR="00A400F7">
        <w:t xml:space="preserve">marketing </w:t>
      </w:r>
      <w:r w:rsidR="007A509A">
        <w:t xml:space="preserve">strategies and the deliberate </w:t>
      </w:r>
      <w:r w:rsidR="00A400F7">
        <w:t xml:space="preserve">structuring of </w:t>
      </w:r>
      <w:r>
        <w:t xml:space="preserve">interdependencies </w:t>
      </w:r>
      <w:r w:rsidR="00F74B2F" w:rsidRPr="004920FD">
        <w:t>conflat</w:t>
      </w:r>
      <w:r w:rsidR="00F74B2F">
        <w:t>e</w:t>
      </w:r>
      <w:r w:rsidR="00F74B2F" w:rsidRPr="004920FD">
        <w:t xml:space="preserve"> the logics of appropriateness and </w:t>
      </w:r>
      <w:r w:rsidR="00792D99" w:rsidRPr="004920FD">
        <w:t xml:space="preserve">consequences </w:t>
      </w:r>
      <w:r w:rsidR="00792D99">
        <w:t>escalating</w:t>
      </w:r>
      <w:r w:rsidR="00F74B2F" w:rsidRPr="004920FD">
        <w:t xml:space="preserve"> </w:t>
      </w:r>
      <w:r w:rsidR="00F74B2F">
        <w:t xml:space="preserve">the </w:t>
      </w:r>
      <w:r w:rsidR="00F74B2F" w:rsidRPr="004920FD">
        <w:t>problem</w:t>
      </w:r>
      <w:r w:rsidR="00F74B2F">
        <w:t xml:space="preserve"> of conflicted logics</w:t>
      </w:r>
      <w:r w:rsidR="007A509A">
        <w:t xml:space="preserve"> within the value chain</w:t>
      </w:r>
      <w:r w:rsidR="00F74B2F" w:rsidRPr="004920FD">
        <w:t xml:space="preserve">. As </w:t>
      </w:r>
      <w:r w:rsidR="00F74B2F">
        <w:t>depicted</w:t>
      </w:r>
      <w:r w:rsidR="00F74B2F" w:rsidRPr="004920FD">
        <w:t xml:space="preserve"> in Figure </w:t>
      </w:r>
      <w:r w:rsidR="00F74B2F">
        <w:t>1</w:t>
      </w:r>
      <w:r w:rsidR="00F74B2F" w:rsidRPr="004920FD">
        <w:t>, th</w:t>
      </w:r>
      <w:r w:rsidR="00022AA5">
        <w:t xml:space="preserve">is conflation occurs because pharmaceutical marketing strategies </w:t>
      </w:r>
      <w:r w:rsidR="006F7F3E">
        <w:t xml:space="preserve">and the systematic interdependencies built among them </w:t>
      </w:r>
      <w:r w:rsidR="00F74B2F" w:rsidRPr="004920FD">
        <w:t>exploit the logic of appropriateness for consequential gains. For instance,</w:t>
      </w:r>
      <w:r w:rsidR="00F74B2F">
        <w:t xml:space="preserve"> our analyses </w:t>
      </w:r>
      <w:r w:rsidR="00022AA5">
        <w:t xml:space="preserve">reveals </w:t>
      </w:r>
      <w:r w:rsidR="00F74B2F">
        <w:t>that the industry provides “unrestricted” funds to produce favorable “research” that is</w:t>
      </w:r>
      <w:r w:rsidR="00F74B2F" w:rsidRPr="004920FD">
        <w:t xml:space="preserve"> published in peer-reviewed journals through ghost writing</w:t>
      </w:r>
      <w:r w:rsidR="00F74B2F">
        <w:t>. Upon publication, the “research” is disseminated using a “</w:t>
      </w:r>
      <w:r w:rsidR="00E83B6E">
        <w:t>medical education</w:t>
      </w:r>
      <w:r w:rsidR="00F74B2F">
        <w:t>” strategy involving “grants” for continuing education and “</w:t>
      </w:r>
      <w:r w:rsidR="00E83B6E">
        <w:t>surrogate selling</w:t>
      </w:r>
      <w:r w:rsidR="00F74B2F">
        <w:t>” strategy involving “contracted” thought leaders</w:t>
      </w:r>
      <w:r w:rsidR="00F74B2F" w:rsidRPr="004920FD">
        <w:t xml:space="preserve">. </w:t>
      </w:r>
      <w:r w:rsidR="006F7F3E">
        <w:t xml:space="preserve">Moreover, </w:t>
      </w:r>
      <w:r w:rsidR="00022AA5">
        <w:t xml:space="preserve">“thought leaders” </w:t>
      </w:r>
      <w:r w:rsidR="006F7F3E">
        <w:t>identified through prescription tracking are awarded research grants for clinical trials</w:t>
      </w:r>
      <w:r w:rsidR="00022AA5">
        <w:t xml:space="preserve">, and subsequently </w:t>
      </w:r>
      <w:r w:rsidR="006F7F3E">
        <w:t xml:space="preserve">invited to populate speakers’ bureau and disease advisory boards to sway their peers through medical education and surrogate selling strategies. </w:t>
      </w:r>
    </w:p>
    <w:p w:rsidR="00022AA5" w:rsidRDefault="00F74B2F" w:rsidP="00AC356C">
      <w:pPr>
        <w:pStyle w:val="StyleLinespacingDouble"/>
      </w:pPr>
      <w:r>
        <w:t xml:space="preserve">As long as the industry’s efforts to </w:t>
      </w:r>
      <w:r w:rsidR="00FF51F2">
        <w:t xml:space="preserve">camouflage </w:t>
      </w:r>
      <w:r>
        <w:t>its conflation are successful, the strategy produces consequential results. Grants are considered a contribution to science not marketing, research is viewed with credibility not tainted by commercial intent, and thought leader</w:t>
      </w:r>
      <w:r w:rsidR="00022AA5">
        <w:t>’</w:t>
      </w:r>
      <w:r>
        <w:t xml:space="preserve">s recommendations carry legitimate weight of </w:t>
      </w:r>
      <w:r w:rsidR="00022AA5">
        <w:t xml:space="preserve">an </w:t>
      </w:r>
      <w:r>
        <w:t xml:space="preserve">expert, not a contracted spokesperson. However, the industry’s investments in strategic </w:t>
      </w:r>
      <w:r w:rsidR="000305A2">
        <w:t>interdependencies</w:t>
      </w:r>
      <w:r>
        <w:t xml:space="preserve"> are hard to justify internally without linking them to a continuous stream of consequential gains. </w:t>
      </w:r>
      <w:r w:rsidR="00022AA5">
        <w:t xml:space="preserve">However, </w:t>
      </w:r>
      <w:r w:rsidR="007A509A">
        <w:t xml:space="preserve">these strategies undermine the very mechanisms (for example CME and Journal Publications) of interpersonal trust that are crucial to the legitimacy of the </w:t>
      </w:r>
      <w:r w:rsidR="00022AA5">
        <w:t xml:space="preserve">medical </w:t>
      </w:r>
      <w:r w:rsidR="007A509A">
        <w:t>profession</w:t>
      </w:r>
      <w:r>
        <w:t xml:space="preserve">. </w:t>
      </w:r>
      <w:r w:rsidR="00056B31">
        <w:t xml:space="preserve"> As a result, the more successful the </w:t>
      </w:r>
      <w:r w:rsidR="00056B31">
        <w:lastRenderedPageBreak/>
        <w:t xml:space="preserve">pharmaceutical marketing strategies </w:t>
      </w:r>
      <w:r w:rsidR="002A509A">
        <w:t xml:space="preserve">are </w:t>
      </w:r>
      <w:r w:rsidR="00056B31">
        <w:t xml:space="preserve">in achieving their objectives, the more likely are they to amplify the conflicted logics of the value chain with one caveat; </w:t>
      </w:r>
      <w:r w:rsidR="00372512">
        <w:t xml:space="preserve">the growing conflict is latent and inert </w:t>
      </w:r>
      <w:r w:rsidR="002A509A">
        <w:t xml:space="preserve">as long as the </w:t>
      </w:r>
      <w:r w:rsidR="00056B31">
        <w:t xml:space="preserve">industry’s deliberate conflation of logics </w:t>
      </w:r>
      <w:r w:rsidR="002A509A">
        <w:t>remains undetected</w:t>
      </w:r>
      <w:r w:rsidR="00056B31">
        <w:t>.</w:t>
      </w:r>
    </w:p>
    <w:p w:rsidR="00F547D7" w:rsidRDefault="007910EE" w:rsidP="001F2BCE">
      <w:pPr>
        <w:pStyle w:val="StyleLinespacingDouble"/>
        <w:rPr>
          <w:kern w:val="0"/>
        </w:rPr>
      </w:pPr>
      <w:r w:rsidRPr="007910EE">
        <w:t xml:space="preserve">Once detected, </w:t>
      </w:r>
      <w:r w:rsidR="00372512">
        <w:t xml:space="preserve">however, the conflict stoked and amplified by the particular nature of pharmaceutical marketing strategies </w:t>
      </w:r>
      <w:r w:rsidR="001F2BCE">
        <w:t>deployed by the industry rises to the surface and invites swift and strong response.  For instance, t</w:t>
      </w:r>
      <w:r w:rsidR="002F07B7">
        <w:t>he industry’s e</w:t>
      </w:r>
      <w:r w:rsidR="00E83B6E">
        <w:t>vidence-based</w:t>
      </w:r>
      <w:r w:rsidR="00F74B2F">
        <w:t xml:space="preserve"> strategy</w:t>
      </w:r>
      <w:r w:rsidR="002F07B7">
        <w:t xml:space="preserve"> prompted </w:t>
      </w:r>
      <w:r w:rsidR="00F74B2F">
        <w:t xml:space="preserve">the </w:t>
      </w:r>
      <w:r w:rsidR="00F74B2F" w:rsidRPr="004920FD">
        <w:rPr>
          <w:i/>
          <w:iCs/>
        </w:rPr>
        <w:t>Journal of American Medical Association</w:t>
      </w:r>
      <w:r w:rsidR="00F74B2F" w:rsidRPr="004920FD">
        <w:t xml:space="preserve">, along with </w:t>
      </w:r>
      <w:r w:rsidR="00F74B2F" w:rsidRPr="004920FD">
        <w:rPr>
          <w:i/>
          <w:iCs/>
        </w:rPr>
        <w:t xml:space="preserve">International Committee of Medical Journal Editors </w:t>
      </w:r>
      <w:r w:rsidR="002F07B7">
        <w:rPr>
          <w:iCs/>
        </w:rPr>
        <w:t xml:space="preserve">to </w:t>
      </w:r>
      <w:r w:rsidR="002F07B7">
        <w:t>r</w:t>
      </w:r>
      <w:r w:rsidR="00F74B2F" w:rsidRPr="004920FD">
        <w:t xml:space="preserve">equire all authors to include an explicit disclosure of </w:t>
      </w:r>
      <w:r w:rsidR="00F74B2F">
        <w:t xml:space="preserve">conflict of interests </w:t>
      </w:r>
      <w:r w:rsidR="00F74B2F" w:rsidRPr="004920FD">
        <w:t xml:space="preserve">and, </w:t>
      </w:r>
      <w:r w:rsidR="00F74B2F">
        <w:t xml:space="preserve">for </w:t>
      </w:r>
      <w:r w:rsidR="00F74B2F" w:rsidRPr="004920FD">
        <w:t>industry sponsored research, ask</w:t>
      </w:r>
      <w:r w:rsidR="00F74B2F">
        <w:t xml:space="preserve"> authors</w:t>
      </w:r>
      <w:r w:rsidR="00F74B2F" w:rsidRPr="004920FD">
        <w:t xml:space="preserve"> to conduct independent statistical analysis as a condition for publication (DeAngelis 2006).</w:t>
      </w:r>
      <w:r w:rsidR="00F74B2F">
        <w:t xml:space="preserve"> Noting that “over 50% of articles” in top journals may be “ghost-written,” the U.K. House of Commons </w:t>
      </w:r>
      <w:r w:rsidR="00185B57">
        <w:t>(</w:t>
      </w:r>
      <w:r w:rsidR="00F74B2F">
        <w:t>Health Committee</w:t>
      </w:r>
      <w:r w:rsidR="00185B57">
        <w:t xml:space="preserve"> </w:t>
      </w:r>
      <w:r w:rsidR="00F74B2F">
        <w:t xml:space="preserve">2005, p. 53) stressed that regulatory guidelines should “leave no room for ghost-writing.” </w:t>
      </w:r>
      <w:r w:rsidR="006809A4">
        <w:t xml:space="preserve"> Additionally, the </w:t>
      </w:r>
      <w:r w:rsidR="00516AD7" w:rsidRPr="00516AD7">
        <w:t>Accrediting Council for Continuing Medical Education</w:t>
      </w:r>
      <w:r w:rsidR="006809A4">
        <w:t xml:space="preserve"> has enforc</w:t>
      </w:r>
      <w:r w:rsidR="001F2BCE">
        <w:t>ed</w:t>
      </w:r>
      <w:r w:rsidR="006809A4">
        <w:t xml:space="preserve"> strict policies against faculty recommendations and CME content reviews by commercial sponsors. The American Medical Association and the American Psychiatry Association have followed suit by restricting industry involvement in CME activities. In March 2009, the </w:t>
      </w:r>
      <w:r w:rsidR="006809A4">
        <w:rPr>
          <w:i/>
          <w:iCs/>
        </w:rPr>
        <w:t>Journal of the American Medical Association (JAMA)</w:t>
      </w:r>
      <w:r w:rsidR="006809A4">
        <w:t xml:space="preserve"> called on all professional medical associations to end drug company relationships. </w:t>
      </w:r>
      <w:r w:rsidR="002F07B7">
        <w:rPr>
          <w:kern w:val="0"/>
        </w:rPr>
        <w:t>A</w:t>
      </w:r>
      <w:r w:rsidR="002F07B7">
        <w:t xml:space="preserve">cademic medical centers including Yale, Harvard, Duke, Stanford, University of Pennsylvania, Henry Ford Health System, and UCLA have banned physicians from receiving monetary or non-monetary gifts, however small, and prohibited drug samples and detailers from patient care areas </w:t>
      </w:r>
      <w:r w:rsidR="002F07B7" w:rsidRPr="005F452C">
        <w:t>(Croasdale 2006).</w:t>
      </w:r>
      <w:r w:rsidR="002F07B7">
        <w:rPr>
          <w:kern w:val="0"/>
        </w:rPr>
        <w:t xml:space="preserve">  </w:t>
      </w:r>
    </w:p>
    <w:p w:rsidR="00214317" w:rsidRDefault="006809A4" w:rsidP="00B440C1">
      <w:pPr>
        <w:pStyle w:val="StyleLinespacingDouble"/>
        <w:rPr>
          <w:kern w:val="0"/>
        </w:rPr>
      </w:pPr>
      <w:r>
        <w:t xml:space="preserve">Rising public aversion to </w:t>
      </w:r>
      <w:r w:rsidR="001F2BCE">
        <w:t xml:space="preserve">industry’s deliberate conflation of logics in its marketing strategies has also </w:t>
      </w:r>
      <w:r>
        <w:t xml:space="preserve">invited regulatory intervention. The recent </w:t>
      </w:r>
      <w:r w:rsidR="00214317">
        <w:t xml:space="preserve">health care reform </w:t>
      </w:r>
      <w:r w:rsidR="00ED607C">
        <w:t xml:space="preserve">in U.S. </w:t>
      </w:r>
      <w:r w:rsidR="00214317">
        <w:t xml:space="preserve">includes the </w:t>
      </w:r>
      <w:r w:rsidR="00214317" w:rsidRPr="00214317">
        <w:t>Physician Payment Sunshine Act</w:t>
      </w:r>
      <w:r w:rsidR="00214317">
        <w:t>,</w:t>
      </w:r>
      <w:r w:rsidR="00516AD7" w:rsidRPr="00516AD7">
        <w:t xml:space="preserve"> a mandate for transparency in the financial relationship</w:t>
      </w:r>
      <w:r w:rsidR="00214317">
        <w:t xml:space="preserve">s between pharmaceutical industry and </w:t>
      </w:r>
      <w:r w:rsidR="00516AD7" w:rsidRPr="00516AD7">
        <w:t>physicians.</w:t>
      </w:r>
      <w:r w:rsidR="00FE0909">
        <w:t xml:space="preserve"> </w:t>
      </w:r>
      <w:r w:rsidR="00214317">
        <w:t xml:space="preserve">Additionally, </w:t>
      </w:r>
      <w:r w:rsidR="00F74B2F">
        <w:t>prosecutors</w:t>
      </w:r>
      <w:r>
        <w:t xml:space="preserve"> </w:t>
      </w:r>
      <w:r w:rsidR="00F74B2F">
        <w:t xml:space="preserve">and professional agencies have imposed monitoring and oversight restraints on pharmaceutical industry-physician </w:t>
      </w:r>
      <w:r w:rsidR="00F74B2F">
        <w:lastRenderedPageBreak/>
        <w:t xml:space="preserve">interactions. </w:t>
      </w:r>
      <w:r w:rsidR="00330C12">
        <w:rPr>
          <w:kern w:val="0"/>
        </w:rPr>
        <w:t>Recently</w:t>
      </w:r>
      <w:r>
        <w:rPr>
          <w:kern w:val="0"/>
        </w:rPr>
        <w:t xml:space="preserve">, ProPublica </w:t>
      </w:r>
      <w:r w:rsidR="00330C12">
        <w:rPr>
          <w:kern w:val="0"/>
        </w:rPr>
        <w:t xml:space="preserve">has </w:t>
      </w:r>
      <w:r>
        <w:rPr>
          <w:kern w:val="0"/>
        </w:rPr>
        <w:t>provide</w:t>
      </w:r>
      <w:r w:rsidR="00330C12">
        <w:rPr>
          <w:kern w:val="0"/>
        </w:rPr>
        <w:t>d</w:t>
      </w:r>
      <w:r>
        <w:rPr>
          <w:kern w:val="0"/>
        </w:rPr>
        <w:t xml:space="preserve"> </w:t>
      </w:r>
      <w:r w:rsidR="00330C12">
        <w:rPr>
          <w:kern w:val="0"/>
        </w:rPr>
        <w:t xml:space="preserve">open </w:t>
      </w:r>
      <w:r>
        <w:rPr>
          <w:kern w:val="0"/>
        </w:rPr>
        <w:t xml:space="preserve">access to a searchable database </w:t>
      </w:r>
      <w:r w:rsidR="00214317">
        <w:rPr>
          <w:kern w:val="0"/>
        </w:rPr>
        <w:t xml:space="preserve">called “dollars for docs” </w:t>
      </w:r>
      <w:r>
        <w:rPr>
          <w:kern w:val="0"/>
        </w:rPr>
        <w:t xml:space="preserve">for public to uncover industry </w:t>
      </w:r>
      <w:r w:rsidR="00214317">
        <w:rPr>
          <w:kern w:val="0"/>
        </w:rPr>
        <w:t>payments</w:t>
      </w:r>
      <w:r>
        <w:rPr>
          <w:kern w:val="0"/>
        </w:rPr>
        <w:t xml:space="preserve"> to local physicians</w:t>
      </w:r>
      <w:r w:rsidR="00F74B2F">
        <w:rPr>
          <w:kern w:val="0"/>
        </w:rPr>
        <w:t xml:space="preserve">. </w:t>
      </w:r>
    </w:p>
    <w:p w:rsidR="00146C9E" w:rsidRPr="001C496F" w:rsidRDefault="00146C9E">
      <w:pPr>
        <w:pStyle w:val="StyleLinespacingDouble"/>
        <w:spacing w:line="240" w:lineRule="auto"/>
        <w:ind w:firstLine="0"/>
        <w:jc w:val="center"/>
        <w:rPr>
          <w:b/>
          <w:bCs/>
          <w:smallCaps/>
        </w:rPr>
      </w:pPr>
      <w:r w:rsidRPr="001C496F">
        <w:rPr>
          <w:b/>
          <w:bCs/>
          <w:smallCaps/>
        </w:rPr>
        <w:t xml:space="preserve">Open systems Framework for </w:t>
      </w:r>
      <w:r w:rsidR="00AC6AF1" w:rsidRPr="001C496F">
        <w:rPr>
          <w:b/>
          <w:bCs/>
          <w:smallCaps/>
        </w:rPr>
        <w:t>Pharmaceutical</w:t>
      </w:r>
      <w:r w:rsidR="000F07A6" w:rsidRPr="001C496F">
        <w:rPr>
          <w:b/>
          <w:bCs/>
          <w:smallCaps/>
        </w:rPr>
        <w:t xml:space="preserve"> </w:t>
      </w:r>
      <w:r w:rsidR="00AC6AF1" w:rsidRPr="001C496F">
        <w:rPr>
          <w:b/>
          <w:bCs/>
          <w:smallCaps/>
        </w:rPr>
        <w:t>Marketing Strategies:</w:t>
      </w:r>
      <w:r w:rsidR="00F74B2F" w:rsidRPr="001C496F">
        <w:rPr>
          <w:b/>
          <w:bCs/>
          <w:smallCaps/>
        </w:rPr>
        <w:t xml:space="preserve"> </w:t>
      </w:r>
    </w:p>
    <w:p w:rsidR="00F74B2F" w:rsidRPr="001C496F" w:rsidRDefault="008F6589">
      <w:pPr>
        <w:pStyle w:val="StyleLinespacingDouble"/>
        <w:spacing w:line="240" w:lineRule="auto"/>
        <w:ind w:firstLine="0"/>
        <w:jc w:val="center"/>
        <w:rPr>
          <w:b/>
          <w:bCs/>
          <w:smallCaps/>
        </w:rPr>
      </w:pPr>
      <w:r w:rsidRPr="001C496F">
        <w:rPr>
          <w:b/>
          <w:bCs/>
          <w:smallCaps/>
        </w:rPr>
        <w:t xml:space="preserve">New Directions for </w:t>
      </w:r>
      <w:r w:rsidR="00146C9E" w:rsidRPr="001C496F">
        <w:rPr>
          <w:b/>
          <w:bCs/>
          <w:smallCaps/>
        </w:rPr>
        <w:t xml:space="preserve">Future </w:t>
      </w:r>
      <w:r w:rsidR="00F74B2F" w:rsidRPr="001C496F">
        <w:rPr>
          <w:b/>
          <w:bCs/>
          <w:smallCaps/>
        </w:rPr>
        <w:t>Research</w:t>
      </w:r>
      <w:r w:rsidRPr="001C496F">
        <w:rPr>
          <w:b/>
          <w:bCs/>
          <w:smallCaps/>
        </w:rPr>
        <w:t xml:space="preserve"> and Practice</w:t>
      </w:r>
    </w:p>
    <w:p w:rsidR="00F74B2F" w:rsidRPr="001C496F" w:rsidRDefault="00F74B2F" w:rsidP="00247B39">
      <w:pPr>
        <w:pStyle w:val="StyleLinespacingDouble"/>
        <w:spacing w:line="240" w:lineRule="auto"/>
        <w:ind w:firstLine="0"/>
        <w:jc w:val="center"/>
        <w:rPr>
          <w:b/>
          <w:bCs/>
          <w:smallCaps/>
        </w:rPr>
      </w:pPr>
    </w:p>
    <w:p w:rsidR="00E81496" w:rsidRDefault="00F547D7" w:rsidP="00671FF6">
      <w:pPr>
        <w:pStyle w:val="StyleLinespacingDouble"/>
      </w:pPr>
      <w:r>
        <w:t xml:space="preserve">Our comprehensive analysis of </w:t>
      </w:r>
      <w:r w:rsidR="000403FE">
        <w:t xml:space="preserve">pharmaceutical marketing strategies and tactics </w:t>
      </w:r>
      <w:r w:rsidR="006B1CA6">
        <w:t xml:space="preserve">unveils new insights and calls for new directions for research and practice.  First, our analysis provides evidence that pharmaceutical marketing strategies are largely driven by an economic model to maximize ROI and maintain focus on consequential gains. </w:t>
      </w:r>
      <w:r w:rsidR="005A5B8E">
        <w:t xml:space="preserve">More significantly, our analysis lays bare </w:t>
      </w:r>
      <w:r w:rsidR="006B1CA6">
        <w:t xml:space="preserve">the intricate and carefully crafted interdependencies among a diverse set of tactical moves </w:t>
      </w:r>
      <w:r w:rsidR="005A5B8E">
        <w:t xml:space="preserve">that pharmaceutical </w:t>
      </w:r>
      <w:r w:rsidR="006B1CA6">
        <w:t xml:space="preserve">marketing </w:t>
      </w:r>
      <w:r w:rsidR="005A5B8E">
        <w:t xml:space="preserve">managers construct </w:t>
      </w:r>
      <w:r w:rsidR="00860156">
        <w:t xml:space="preserve">as strategy </w:t>
      </w:r>
      <w:r w:rsidR="005A5B8E">
        <w:t xml:space="preserve">to influence physician decision making.  </w:t>
      </w:r>
      <w:r w:rsidR="00831D90">
        <w:t>W</w:t>
      </w:r>
      <w:r w:rsidR="005A5B8E">
        <w:t xml:space="preserve">hat makes these strategies aversive </w:t>
      </w:r>
      <w:r w:rsidR="00831D90">
        <w:t>to physician</w:t>
      </w:r>
      <w:r w:rsidR="00142171">
        <w:t>s</w:t>
      </w:r>
      <w:r w:rsidR="00831D90">
        <w:t xml:space="preserve"> and public alike is not so much as they are driven by a</w:t>
      </w:r>
      <w:r w:rsidR="00142171">
        <w:t xml:space="preserve">n </w:t>
      </w:r>
      <w:r w:rsidR="00831D90">
        <w:t xml:space="preserve">economic imperative of “self-interest without guile” but </w:t>
      </w:r>
      <w:r w:rsidR="00142171">
        <w:t>th</w:t>
      </w:r>
      <w:r w:rsidR="00831D90">
        <w:t xml:space="preserve">e systematic and sustained </w:t>
      </w:r>
      <w:r w:rsidR="00D41676">
        <w:t xml:space="preserve">effort </w:t>
      </w:r>
      <w:r w:rsidR="00831D90">
        <w:t xml:space="preserve">to cloak the economic self-interest </w:t>
      </w:r>
      <w:r w:rsidR="00275CE6">
        <w:t>with</w:t>
      </w:r>
      <w:r w:rsidR="001579D4">
        <w:t xml:space="preserve">in a </w:t>
      </w:r>
      <w:r w:rsidR="00994F96">
        <w:t xml:space="preserve">logic of appropriateness </w:t>
      </w:r>
      <w:r w:rsidR="00275CE6">
        <w:t xml:space="preserve">to appear </w:t>
      </w:r>
      <w:r w:rsidR="00994F96">
        <w:t>as b</w:t>
      </w:r>
      <w:r w:rsidR="00142171">
        <w:t>enevolen</w:t>
      </w:r>
      <w:r w:rsidR="00D41676">
        <w:t xml:space="preserve">ce </w:t>
      </w:r>
      <w:r w:rsidR="00FB7C62">
        <w:t xml:space="preserve">acts in the interest of </w:t>
      </w:r>
      <w:r w:rsidR="008E4CB8">
        <w:t>enhanc</w:t>
      </w:r>
      <w:r w:rsidR="00994F96">
        <w:t>ing</w:t>
      </w:r>
      <w:r w:rsidR="008E4CB8">
        <w:t xml:space="preserve"> </w:t>
      </w:r>
      <w:r w:rsidR="00831D90">
        <w:t xml:space="preserve">physician knowledge and public health. </w:t>
      </w:r>
      <w:r w:rsidR="008E4CB8">
        <w:t xml:space="preserve">By ignoring </w:t>
      </w:r>
      <w:r w:rsidR="00094C77">
        <w:t>s</w:t>
      </w:r>
      <w:r w:rsidR="008E4CB8">
        <w:t>trategies that underlie pharmaceutical marketing tactics, m</w:t>
      </w:r>
      <w:r w:rsidR="00831D90">
        <w:t xml:space="preserve">ost past research in marketing misses </w:t>
      </w:r>
      <w:r w:rsidR="008E4CB8">
        <w:t xml:space="preserve">both </w:t>
      </w:r>
      <w:r w:rsidR="00831D90">
        <w:t>th</w:t>
      </w:r>
      <w:r w:rsidR="008E4CB8">
        <w:t xml:space="preserve">e intricate interdependencies among tactics and willful effort to </w:t>
      </w:r>
      <w:r w:rsidR="00094C77">
        <w:t xml:space="preserve">obscure these interdependencies from scrutiny by physicians and public.  As a result, extant research in marketing is of limited use to anticipate or explain </w:t>
      </w:r>
      <w:r w:rsidR="00E81496">
        <w:t>the increasingly unfavorable response to pharmaceutical marketing tactics, and regulatory effort to contain and constrain their reach.</w:t>
      </w:r>
      <w:r w:rsidR="00094C77">
        <w:t xml:space="preserve"> </w:t>
      </w:r>
      <w:r w:rsidR="00831D90">
        <w:t xml:space="preserve"> </w:t>
      </w:r>
      <w:r w:rsidR="00E81496">
        <w:t>Thus, a new direction is needed to break free from the myopia of past research.</w:t>
      </w:r>
    </w:p>
    <w:p w:rsidR="00626D8E" w:rsidRDefault="00E81496" w:rsidP="00626D8E">
      <w:pPr>
        <w:pStyle w:val="StyleLinespacingDouble"/>
      </w:pPr>
      <w:r>
        <w:t xml:space="preserve">Second, </w:t>
      </w:r>
      <w:r w:rsidR="00626D8E">
        <w:t>our analysis indicates that a</w:t>
      </w:r>
      <w:r w:rsidR="00D41676">
        <w:t>n</w:t>
      </w:r>
      <w:r w:rsidR="00626D8E">
        <w:t xml:space="preserve"> institutional theory perspective is well suited </w:t>
      </w:r>
      <w:r w:rsidR="00860156">
        <w:t>for studying</w:t>
      </w:r>
      <w:r w:rsidR="00626D8E">
        <w:t xml:space="preserve"> pharmaceutical marketing strategies with</w:t>
      </w:r>
      <w:r w:rsidR="00860156">
        <w:t>in a broader,</w:t>
      </w:r>
      <w:r w:rsidR="00626D8E">
        <w:t xml:space="preserve"> value chain perspective.  Our institutional theory</w:t>
      </w:r>
      <w:r w:rsidR="00860156">
        <w:t>-based</w:t>
      </w:r>
      <w:r w:rsidR="00626D8E">
        <w:t xml:space="preserve"> development considers both the logics of consequences that govern pharmaceutical marketing efforts and the logics of appropriateness that frame physicians’ medical decision making.  Joint consideration of industry and physician logics allows us to explicitly analyze the conflict that actions rooted in these disparate logics entail.  Our analysis </w:t>
      </w:r>
      <w:r w:rsidR="00626D8E">
        <w:lastRenderedPageBreak/>
        <w:t xml:space="preserve">highlights that conflicted logics become institutionalized and rationalized as normative routines making the system less flexible </w:t>
      </w:r>
      <w:r w:rsidR="003E587B">
        <w:t>and susceptible to market failure</w:t>
      </w:r>
      <w:r w:rsidR="00626D8E">
        <w:t xml:space="preserve">.  More significantly, </w:t>
      </w:r>
      <w:r w:rsidR="003E587B">
        <w:t xml:space="preserve">our analysis shows that </w:t>
      </w:r>
      <w:r w:rsidR="00626D8E">
        <w:t>this conflict is amplified</w:t>
      </w:r>
      <w:r w:rsidR="003E587B">
        <w:t xml:space="preserve"> over time</w:t>
      </w:r>
      <w:r w:rsidR="00626D8E">
        <w:t xml:space="preserve">, perhaps inadvertently, by self-centered actions of market actors who are narrowly focused on their own logics and unable to grasp a system view—in a way, </w:t>
      </w:r>
      <w:r w:rsidR="00626D8E" w:rsidRPr="00766523">
        <w:rPr>
          <w:i/>
          <w:iCs/>
        </w:rPr>
        <w:t>missing the forest for the trees</w:t>
      </w:r>
      <w:r w:rsidR="00626D8E">
        <w:t>.  P</w:t>
      </w:r>
      <w:r w:rsidR="003E587B">
        <w:t>ast</w:t>
      </w:r>
      <w:r w:rsidR="00626D8E">
        <w:t xml:space="preserve"> studies have generally given scant attention to </w:t>
      </w:r>
      <w:r w:rsidR="003E587B">
        <w:t xml:space="preserve">the disparate </w:t>
      </w:r>
      <w:r w:rsidR="00626D8E">
        <w:t xml:space="preserve">logics that </w:t>
      </w:r>
      <w:r w:rsidR="003E587B">
        <w:t>characterize pharmaceutical industry-</w:t>
      </w:r>
      <w:r w:rsidR="00626D8E">
        <w:t xml:space="preserve">physician </w:t>
      </w:r>
      <w:r w:rsidR="003E587B">
        <w:t xml:space="preserve">relationships, </w:t>
      </w:r>
      <w:r w:rsidR="00626D8E">
        <w:t xml:space="preserve">and hesitated in adopting a value chain perspective.  </w:t>
      </w:r>
      <w:r w:rsidR="00A525E9">
        <w:t xml:space="preserve">New frameworks for </w:t>
      </w:r>
      <w:r w:rsidR="005F7809">
        <w:t xml:space="preserve">studying </w:t>
      </w:r>
      <w:r w:rsidR="00A525E9">
        <w:t>pharmaceutical marketing strategies are needed that consider</w:t>
      </w:r>
      <w:r w:rsidR="003E587B">
        <w:t xml:space="preserve">: (1) interdependencies among pharmaceutical value chain </w:t>
      </w:r>
      <w:r w:rsidR="00A525E9">
        <w:t xml:space="preserve">partners </w:t>
      </w:r>
      <w:r w:rsidR="003E587B">
        <w:t xml:space="preserve">motivated by </w:t>
      </w:r>
      <w:r w:rsidR="00994F96">
        <w:t>disparate</w:t>
      </w:r>
      <w:r w:rsidR="00A525E9">
        <w:t xml:space="preserve"> </w:t>
      </w:r>
      <w:r w:rsidR="003E587B">
        <w:t xml:space="preserve">logics, (2) </w:t>
      </w:r>
      <w:r w:rsidR="00A525E9">
        <w:t>embeddedness of market actors</w:t>
      </w:r>
      <w:r w:rsidR="003E587B">
        <w:t xml:space="preserve">, and (3) temporal </w:t>
      </w:r>
      <w:r w:rsidR="005F7809">
        <w:t xml:space="preserve">evolution </w:t>
      </w:r>
      <w:r w:rsidR="003E587B">
        <w:t xml:space="preserve">of the nature and intensity of </w:t>
      </w:r>
      <w:r w:rsidR="005F7809">
        <w:t xml:space="preserve">system </w:t>
      </w:r>
      <w:r w:rsidR="003E587B">
        <w:t>conflict.</w:t>
      </w:r>
      <w:r w:rsidR="00A525E9">
        <w:t xml:space="preserve"> </w:t>
      </w:r>
      <w:r w:rsidR="00626D8E">
        <w:t xml:space="preserve"> Absent these considerations, we risk incomplete, if not misleading, </w:t>
      </w:r>
      <w:r w:rsidR="005F7809">
        <w:t>understanding of pharmaceutical marketing strategies</w:t>
      </w:r>
      <w:r w:rsidR="000F0288">
        <w:t xml:space="preserve"> and its consequences</w:t>
      </w:r>
      <w:r w:rsidR="005F7809">
        <w:t>.</w:t>
      </w:r>
    </w:p>
    <w:p w:rsidR="007038D8" w:rsidRDefault="005F7809">
      <w:pPr>
        <w:spacing w:line="480" w:lineRule="auto"/>
        <w:ind w:firstLine="720"/>
      </w:pPr>
      <w:r>
        <w:t xml:space="preserve">We </w:t>
      </w:r>
      <w:r w:rsidR="00222CCA">
        <w:t xml:space="preserve">propose </w:t>
      </w:r>
      <w:r w:rsidR="00836C53">
        <w:t>one</w:t>
      </w:r>
      <w:r>
        <w:t xml:space="preserve"> </w:t>
      </w:r>
      <w:r w:rsidR="00836C53">
        <w:t xml:space="preserve">such </w:t>
      </w:r>
      <w:r w:rsidR="00671FF6">
        <w:t xml:space="preserve">framework </w:t>
      </w:r>
      <w:r w:rsidR="00836C53">
        <w:t xml:space="preserve">that </w:t>
      </w:r>
      <w:r w:rsidR="00671FF6">
        <w:t xml:space="preserve">draws from open system theories of organizational action (Stern </w:t>
      </w:r>
      <w:r w:rsidR="00ED607C">
        <w:t>and</w:t>
      </w:r>
      <w:r w:rsidR="00671FF6">
        <w:t xml:space="preserve"> Barley 1996; Katz </w:t>
      </w:r>
      <w:r w:rsidR="00ED607C">
        <w:t>and</w:t>
      </w:r>
      <w:r w:rsidR="00671FF6">
        <w:t xml:space="preserve"> Kahn 1966)</w:t>
      </w:r>
      <w:r w:rsidR="00836C53">
        <w:t xml:space="preserve">.  Our proposed </w:t>
      </w:r>
      <w:r w:rsidR="00671FF6">
        <w:t xml:space="preserve">framework has several distinct aspects that together constitute a theoretically useful foundation including: (1) focus on a system of market relationships that characterize the </w:t>
      </w:r>
      <w:r w:rsidR="00836C53">
        <w:t xml:space="preserve">pharmaceutical </w:t>
      </w:r>
      <w:r w:rsidR="00671FF6">
        <w:t xml:space="preserve">value chain, (2) emphasis on </w:t>
      </w:r>
      <w:r w:rsidR="006A254C">
        <w:t xml:space="preserve">organizational </w:t>
      </w:r>
      <w:r w:rsidR="00836C53">
        <w:t xml:space="preserve">and system </w:t>
      </w:r>
      <w:r w:rsidR="00671FF6">
        <w:t xml:space="preserve">legitimacy, and (3) linking </w:t>
      </w:r>
      <w:r w:rsidR="00792082" w:rsidRPr="00792082">
        <w:rPr>
          <w:i/>
        </w:rPr>
        <w:t>macro</w:t>
      </w:r>
      <w:r w:rsidR="00671FF6">
        <w:t xml:space="preserve">-level system logics and </w:t>
      </w:r>
      <w:r w:rsidR="00792082" w:rsidRPr="00792082">
        <w:rPr>
          <w:i/>
        </w:rPr>
        <w:t>micro</w:t>
      </w:r>
      <w:r w:rsidR="00671FF6">
        <w:t xml:space="preserve">-level actions of individual market actors as they negotiate </w:t>
      </w:r>
      <w:r w:rsidR="00275CE6">
        <w:t xml:space="preserve">an order from </w:t>
      </w:r>
      <w:r w:rsidR="00836C53">
        <w:t>emergent</w:t>
      </w:r>
      <w:r w:rsidR="00671FF6">
        <w:t xml:space="preserve"> contests of competing logics</w:t>
      </w:r>
      <w:r w:rsidR="00432DD9">
        <w:t>.</w:t>
      </w:r>
      <w:r w:rsidR="00671FF6">
        <w:t xml:space="preserve"> </w:t>
      </w:r>
      <w:r w:rsidR="00222CCA">
        <w:t xml:space="preserve"> </w:t>
      </w:r>
      <w:r w:rsidR="00E87E0A">
        <w:t xml:space="preserve">Table 2 outlines the key elements of this proposed framework—referred to as “open systems framework”—and compares it with current economic framework that characterizes most studies of pharmaceutical marketing.  Specifically, the nine elements in Table 2 are organized around three </w:t>
      </w:r>
      <w:r w:rsidR="00FB7C62">
        <w:t xml:space="preserve">discussion </w:t>
      </w:r>
      <w:r w:rsidR="00E87E0A">
        <w:t xml:space="preserve">points relating to foundations (what are the basic theoretical and conceptual building blocks?), premises (what are its </w:t>
      </w:r>
      <w:r w:rsidR="000C0645">
        <w:t>assumptions and axioms</w:t>
      </w:r>
      <w:r w:rsidR="00432DD9">
        <w:t>?</w:t>
      </w:r>
      <w:r w:rsidR="000C0645">
        <w:t xml:space="preserve">) and key questions and mechanisms (what are its proposed hypothesis and processes?).  </w:t>
      </w:r>
      <w:r w:rsidR="00E87E0A">
        <w:t xml:space="preserve">These </w:t>
      </w:r>
      <w:r w:rsidR="000C0645">
        <w:t>elements</w:t>
      </w:r>
      <w:r w:rsidR="00E87E0A">
        <w:t xml:space="preserve"> are best viewed as </w:t>
      </w:r>
      <w:r w:rsidR="000F0288">
        <w:t>building blocks</w:t>
      </w:r>
      <w:r w:rsidR="00E87E0A">
        <w:t xml:space="preserve"> of a theory rather than a fleshed out theory itself.  </w:t>
      </w:r>
      <w:r w:rsidR="007C3959">
        <w:t>W</w:t>
      </w:r>
      <w:r w:rsidR="00E87E0A">
        <w:t xml:space="preserve">e believe that outlining the elements </w:t>
      </w:r>
      <w:r w:rsidR="00275CE6">
        <w:t xml:space="preserve">of a theory </w:t>
      </w:r>
      <w:r w:rsidR="00E87E0A">
        <w:t xml:space="preserve">with a focus on comparative analysis </w:t>
      </w:r>
      <w:r w:rsidR="007C3959">
        <w:t xml:space="preserve">will </w:t>
      </w:r>
      <w:r w:rsidR="00E87E0A">
        <w:lastRenderedPageBreak/>
        <w:t xml:space="preserve">likely provoke debate and discourse essential to fine tuning and adding elements that will prove useful for guiding </w:t>
      </w:r>
      <w:r w:rsidR="000F0288">
        <w:t xml:space="preserve">future </w:t>
      </w:r>
      <w:r w:rsidR="00E87E0A">
        <w:t xml:space="preserve">theoretical efforts. </w:t>
      </w:r>
      <w:r w:rsidR="00A25D94">
        <w:t>W</w:t>
      </w:r>
      <w:r w:rsidR="00E87E0A">
        <w:t xml:space="preserve">e develop the </w:t>
      </w:r>
      <w:r w:rsidR="000C0645">
        <w:t xml:space="preserve">elements </w:t>
      </w:r>
      <w:r w:rsidR="00E87E0A">
        <w:t xml:space="preserve">in Table </w:t>
      </w:r>
      <w:r w:rsidR="000C0645">
        <w:t>2</w:t>
      </w:r>
      <w:r w:rsidR="00E87E0A">
        <w:t xml:space="preserve"> in more detail below</w:t>
      </w:r>
      <w:r w:rsidR="001579D4">
        <w:t>, and outline the key propositions</w:t>
      </w:r>
      <w:r w:rsidR="007C3959">
        <w:t xml:space="preserve"> resulting from it</w:t>
      </w:r>
      <w:r w:rsidR="001579D4">
        <w:t xml:space="preserve"> in Table 3</w:t>
      </w:r>
      <w:r w:rsidR="00E87E0A">
        <w:t xml:space="preserve"> to guide future research.  </w:t>
      </w:r>
    </w:p>
    <w:p w:rsidR="001D4887" w:rsidRDefault="00432DD9" w:rsidP="0022291A">
      <w:pPr>
        <w:pStyle w:val="StyleLinespacingDouble"/>
        <w:jc w:val="center"/>
        <w:outlineLvl w:val="0"/>
      </w:pPr>
      <w:r>
        <w:t>(</w:t>
      </w:r>
      <w:r w:rsidR="001D4887">
        <w:t xml:space="preserve">Insert Table </w:t>
      </w:r>
      <w:r w:rsidR="00772324">
        <w:t>2</w:t>
      </w:r>
      <w:r w:rsidR="001D4887">
        <w:t xml:space="preserve"> </w:t>
      </w:r>
      <w:r w:rsidR="001579D4">
        <w:t xml:space="preserve">and Table 3 </w:t>
      </w:r>
      <w:r w:rsidR="001D4887">
        <w:t>about here</w:t>
      </w:r>
      <w:r>
        <w:t>)</w:t>
      </w:r>
    </w:p>
    <w:p w:rsidR="007038D8" w:rsidRDefault="00792082">
      <w:pPr>
        <w:pStyle w:val="StyleLinespacingDouble"/>
        <w:ind w:firstLine="0"/>
        <w:rPr>
          <w:b/>
          <w:bCs/>
          <w:i/>
          <w:iCs/>
        </w:rPr>
      </w:pPr>
      <w:r w:rsidRPr="00792082">
        <w:rPr>
          <w:b/>
          <w:i/>
        </w:rPr>
        <w:t>Foundational Elements</w:t>
      </w:r>
    </w:p>
    <w:p w:rsidR="00352ABE" w:rsidRDefault="00970A91" w:rsidP="0001733D">
      <w:pPr>
        <w:pStyle w:val="StyleLinespacingDouble"/>
      </w:pPr>
      <w:r>
        <w:t xml:space="preserve">Whereas an economic </w:t>
      </w:r>
      <w:r w:rsidR="00FE6438">
        <w:t xml:space="preserve">framework directs managerial attention to the objective of maximizing ROI, the open systems framework directs </w:t>
      </w:r>
      <w:r w:rsidR="000F07A6">
        <w:t xml:space="preserve">managerial focus to organizational and system legitimacy. </w:t>
      </w:r>
      <w:r w:rsidR="00FE6438">
        <w:t xml:space="preserve"> We assert that legitimacy is a stronger predictor of organizational effectiveness </w:t>
      </w:r>
      <w:r w:rsidR="00203DE7">
        <w:t xml:space="preserve">in </w:t>
      </w:r>
      <w:r w:rsidR="00FE6438">
        <w:t>value-chain</w:t>
      </w:r>
      <w:r w:rsidR="001674BD">
        <w:t>s</w:t>
      </w:r>
      <w:r w:rsidR="00FE6438">
        <w:t xml:space="preserve"> </w:t>
      </w:r>
      <w:r w:rsidR="00203DE7">
        <w:t>characterized by conflicted logics</w:t>
      </w:r>
      <w:r w:rsidR="001674BD">
        <w:t>,</w:t>
      </w:r>
      <w:r w:rsidR="00203DE7">
        <w:t xml:space="preserve"> and where fiduciary obligations</w:t>
      </w:r>
      <w:r w:rsidR="001674BD">
        <w:t xml:space="preserve"> are relevant</w:t>
      </w:r>
      <w:r w:rsidR="00FE6438">
        <w:t xml:space="preserve">. </w:t>
      </w:r>
      <w:r w:rsidR="00F74B2F">
        <w:t>S</w:t>
      </w:r>
      <w:r w:rsidR="00ED607C">
        <w:t>u</w:t>
      </w:r>
      <w:r w:rsidR="00F74B2F">
        <w:t>chman (1995, p. 574) define</w:t>
      </w:r>
      <w:r w:rsidR="00203DE7">
        <w:t>s</w:t>
      </w:r>
      <w:r w:rsidR="00F74B2F">
        <w:t xml:space="preserve"> legitimacy as a “generalized perception that the actions of an entity are desirable, proper or appropriate within some socially constructed system of norms, beliefs and definitions.”</w:t>
      </w:r>
      <w:r w:rsidR="00F74B2F">
        <w:rPr>
          <w:rStyle w:val="FootnoteReference"/>
        </w:rPr>
        <w:footnoteReference w:id="5"/>
      </w:r>
      <w:r w:rsidR="00F74B2F">
        <w:t xml:space="preserve">. That is, legitimacy is not an abstract, monolithic or enduring evaluation; rather, it is socially constructed by an organization’s value chain partners based on a multidimensional evaluation including (1) pragmatic legitimacy or the degree to which it delivers something that adds </w:t>
      </w:r>
      <w:r w:rsidR="00F74B2F" w:rsidRPr="00A2345B">
        <w:rPr>
          <w:u w:val="single"/>
        </w:rPr>
        <w:t>value</w:t>
      </w:r>
      <w:r w:rsidR="00F74B2F">
        <w:t xml:space="preserve"> to the system, (2) moral legitimacy or the degree to which it employs means and procedures that are </w:t>
      </w:r>
      <w:r w:rsidR="00F74B2F" w:rsidRPr="009E632E">
        <w:rPr>
          <w:u w:val="single"/>
        </w:rPr>
        <w:t>trustworthy</w:t>
      </w:r>
      <w:r w:rsidR="00F74B2F">
        <w:t xml:space="preserve">, and (3) cognitive legitimacy or the degree to which its activities are </w:t>
      </w:r>
      <w:r w:rsidR="00F74B2F" w:rsidRPr="002B04E8">
        <w:rPr>
          <w:u w:val="single"/>
        </w:rPr>
        <w:t>meaningful</w:t>
      </w:r>
      <w:r w:rsidR="00F74B2F">
        <w:t xml:space="preserve"> and desirable for the use and distribution of societal resources (Scott 1987; Suchman 1995). As such, </w:t>
      </w:r>
      <w:r w:rsidR="001674BD">
        <w:t xml:space="preserve">a legitimacy objective </w:t>
      </w:r>
      <w:r w:rsidR="00F74B2F">
        <w:t xml:space="preserve">draws attention not only to value creation but also on </w:t>
      </w:r>
      <w:r w:rsidR="00F74B2F" w:rsidRPr="009152F1">
        <w:rPr>
          <w:i/>
          <w:iCs/>
        </w:rPr>
        <w:t>how</w:t>
      </w:r>
      <w:r w:rsidR="00F74B2F">
        <w:t xml:space="preserve"> (using trustworthy means?), </w:t>
      </w:r>
      <w:r w:rsidR="00F74B2F" w:rsidRPr="00E00D8D">
        <w:rPr>
          <w:i/>
          <w:iCs/>
        </w:rPr>
        <w:t>what</w:t>
      </w:r>
      <w:r w:rsidR="00F74B2F">
        <w:t xml:space="preserve"> (using meaningful activities?) and </w:t>
      </w:r>
      <w:r w:rsidR="00F74B2F" w:rsidRPr="00E00D8D">
        <w:rPr>
          <w:i/>
          <w:iCs/>
        </w:rPr>
        <w:t>for whom</w:t>
      </w:r>
      <w:r w:rsidR="00F74B2F">
        <w:t xml:space="preserve"> (fair allocation of benefits). </w:t>
      </w:r>
    </w:p>
    <w:p w:rsidR="00F410AD" w:rsidRDefault="00ED3066" w:rsidP="0001733D">
      <w:pPr>
        <w:pStyle w:val="StyleLinespacingDouble"/>
      </w:pPr>
      <w:r>
        <w:t xml:space="preserve">A particularly foundational element in the open systems framework is that interdependencies assume </w:t>
      </w:r>
      <w:r w:rsidR="001C2F27">
        <w:t>s</w:t>
      </w:r>
      <w:r>
        <w:t xml:space="preserve">pecial importance in systems where value chain partners are embedded in institutionally disparate logics.  </w:t>
      </w:r>
      <w:r w:rsidR="00F410AD">
        <w:t xml:space="preserve">Unlike an economic framework that achieves its coherence by its assertion of a unitary logic of consequences, an open systems framework </w:t>
      </w:r>
      <w:r w:rsidR="00F410AD">
        <w:lastRenderedPageBreak/>
        <w:t xml:space="preserve">problematizes coherence by consideration of dualistic logics.  In our study, we have noted that the pharmaceutical value chain involves </w:t>
      </w:r>
      <w:r w:rsidR="008F7057">
        <w:t xml:space="preserve">partners that are beholden to different logics.  </w:t>
      </w:r>
      <w:r w:rsidR="00E64504">
        <w:t>A</w:t>
      </w:r>
      <w:r w:rsidR="008F7057">
        <w:t xml:space="preserve">n open systems framework argues that pharmaceutical industry embrace the dualistic logics of the value chain </w:t>
      </w:r>
      <w:r w:rsidR="006D38EB">
        <w:t>in designing its strategies and tactics.  Singular focus on its own logics ignores the interdependence of the value chain as a system.  Consequently, wh</w:t>
      </w:r>
      <w:r w:rsidR="00757CF7">
        <w:t xml:space="preserve">ile </w:t>
      </w:r>
      <w:r w:rsidR="006D38EB">
        <w:t>the economic framework focuse</w:t>
      </w:r>
      <w:r w:rsidR="00757CF7">
        <w:t>s</w:t>
      </w:r>
      <w:r w:rsidR="006D38EB">
        <w:t xml:space="preserve"> </w:t>
      </w:r>
      <w:r w:rsidR="00757CF7">
        <w:t xml:space="preserve">on </w:t>
      </w:r>
      <w:r w:rsidR="006D38EB">
        <w:t xml:space="preserve">the mechanisms of creating and extracting value, the open systems framework requires focus on </w:t>
      </w:r>
      <w:r w:rsidR="00757CF7">
        <w:t>mechanisms that balance the organizational need to extract value with the objective of gaining legitimacy</w:t>
      </w:r>
      <w:r w:rsidR="00432DD9">
        <w:t xml:space="preserve"> (Table 2)</w:t>
      </w:r>
      <w:r w:rsidR="00757CF7">
        <w:t>.</w:t>
      </w:r>
    </w:p>
    <w:p w:rsidR="00A32397" w:rsidRDefault="00757CF7" w:rsidP="0001733D">
      <w:pPr>
        <w:pStyle w:val="StyleLinespacingDouble"/>
      </w:pPr>
      <w:r>
        <w:t xml:space="preserve">To balance value extraction </w:t>
      </w:r>
      <w:r w:rsidR="00ED607C">
        <w:t>with</w:t>
      </w:r>
      <w:r>
        <w:t xml:space="preserve"> legitimacy gains does not necessarily imply accepting tradeoffs.  </w:t>
      </w:r>
      <w:r w:rsidR="0039562A">
        <w:t xml:space="preserve">Rather, an open systems framework suggests that </w:t>
      </w:r>
      <w:r w:rsidR="00AA21D4">
        <w:t xml:space="preserve">organizational effectiveness is </w:t>
      </w:r>
      <w:r w:rsidR="0039562A">
        <w:t xml:space="preserve">likely to be </w:t>
      </w:r>
      <w:r w:rsidR="00B05D3E">
        <w:t>enhanced (</w:t>
      </w:r>
      <w:r w:rsidR="00AA21D4">
        <w:t>compromised</w:t>
      </w:r>
      <w:r w:rsidR="00B05D3E">
        <w:t>)</w:t>
      </w:r>
      <w:r w:rsidR="00AA21D4">
        <w:t xml:space="preserve"> when strategic actions in pursuit of consequential logics </w:t>
      </w:r>
      <w:r w:rsidR="0039562A">
        <w:t xml:space="preserve">also </w:t>
      </w:r>
      <w:r w:rsidR="00B05D3E">
        <w:t>bolster (</w:t>
      </w:r>
      <w:r w:rsidR="00AA21D4">
        <w:t>undermine</w:t>
      </w:r>
      <w:r w:rsidR="00B05D3E">
        <w:t>)</w:t>
      </w:r>
      <w:r w:rsidR="00AA21D4">
        <w:t xml:space="preserve"> the social codes and norms implied by the appropriateness logic</w:t>
      </w:r>
      <w:r w:rsidR="00A540FE">
        <w:t xml:space="preserve"> of value chain partner</w:t>
      </w:r>
      <w:r w:rsidR="00AA21D4">
        <w:t xml:space="preserve">. </w:t>
      </w:r>
      <w:r w:rsidR="00B9582F">
        <w:t xml:space="preserve"> </w:t>
      </w:r>
      <w:r w:rsidR="00A540FE">
        <w:t>In</w:t>
      </w:r>
      <w:r w:rsidR="00F74B2F">
        <w:t xml:space="preserve"> study</w:t>
      </w:r>
      <w:r w:rsidR="00A32397">
        <w:t xml:space="preserve">ing </w:t>
      </w:r>
      <w:r w:rsidR="00F74B2F">
        <w:t xml:space="preserve">hospital survival rates from 1945 to 1990, Ruef and Scott (1998) found that, after controlling for organizational and environmental factors, top-rated hospitals </w:t>
      </w:r>
      <w:r w:rsidR="00B15688">
        <w:t xml:space="preserve">(with greater legitimacy) </w:t>
      </w:r>
      <w:r w:rsidR="00F74B2F">
        <w:t>improve</w:t>
      </w:r>
      <w:r w:rsidR="00B15688">
        <w:t>d</w:t>
      </w:r>
      <w:r w:rsidR="00F74B2F">
        <w:t xml:space="preserve"> their survival rates by factors of 2 to 5 over average-rated hospitals</w:t>
      </w:r>
      <w:r w:rsidR="00B15688">
        <w:t xml:space="preserve"> (with lower legitimacy)</w:t>
      </w:r>
      <w:r w:rsidR="00F74B2F">
        <w:t xml:space="preserve">. Likewise, Arthur (2003) showed that Fortune 500 organizations that gained (moral) legitimacy by </w:t>
      </w:r>
      <w:r w:rsidR="00A32397">
        <w:t xml:space="preserve">investing in </w:t>
      </w:r>
      <w:r w:rsidR="00F74B2F">
        <w:t xml:space="preserve">work family initiatives during 1971 and 1996 posted “excess” shareholder returns </w:t>
      </w:r>
      <w:r w:rsidR="008E3788">
        <w:t xml:space="preserve">to </w:t>
      </w:r>
      <w:r w:rsidR="00F74B2F">
        <w:t>enhanc</w:t>
      </w:r>
      <w:r w:rsidR="008E3788">
        <w:t>e</w:t>
      </w:r>
      <w:r w:rsidR="00F74B2F">
        <w:t xml:space="preserve"> firm’s financial resources. </w:t>
      </w:r>
      <w:r w:rsidR="00A32397">
        <w:t xml:space="preserve">Consistent with this, </w:t>
      </w:r>
      <w:r w:rsidR="00A657F7">
        <w:t>Rao, Chandy and Prabhu (</w:t>
      </w:r>
      <w:r w:rsidR="00A379CE">
        <w:t xml:space="preserve">2008) demonstrate that </w:t>
      </w:r>
      <w:smartTag w:uri="urn:schemas-microsoft-com:office:smarttags" w:element="country-region">
        <w:smartTag w:uri="urn:schemas-microsoft-com:office:smarttags" w:element="place">
          <w:r w:rsidR="00A379CE">
            <w:t>U. S.</w:t>
          </w:r>
        </w:smartTag>
      </w:smartTag>
      <w:r w:rsidR="00A379CE">
        <w:t xml:space="preserve"> biotechnology firms derive</w:t>
      </w:r>
      <w:r w:rsidR="00B25203">
        <w:t>d</w:t>
      </w:r>
      <w:r w:rsidR="00A379CE">
        <w:t xml:space="preserve"> greater stock market returns from innovations if they </w:t>
      </w:r>
      <w:r w:rsidR="00A32397">
        <w:t>were</w:t>
      </w:r>
      <w:r w:rsidR="00A379CE">
        <w:t xml:space="preserve"> perceived </w:t>
      </w:r>
      <w:r w:rsidR="00B25203">
        <w:t xml:space="preserve">to possess greater legitimacy by their value-chain partners. </w:t>
      </w:r>
      <w:r w:rsidR="00241F4E">
        <w:t xml:space="preserve"> Thus value extraction and legitimacy are not inherently incompatible goals.</w:t>
      </w:r>
    </w:p>
    <w:p w:rsidR="00FC4F85" w:rsidRDefault="00241F4E" w:rsidP="009A0143">
      <w:pPr>
        <w:pStyle w:val="StyleLinespacingDouble"/>
      </w:pPr>
      <w:r>
        <w:t>Nevertheless, o</w:t>
      </w:r>
      <w:r w:rsidR="0039562A">
        <w:t xml:space="preserve">ur position is not that an open systems framework is </w:t>
      </w:r>
      <w:r w:rsidR="009A0143">
        <w:t xml:space="preserve">universally </w:t>
      </w:r>
      <w:r w:rsidR="0039562A">
        <w:t>appropriate, and legitimacy objective necessarily relevant for all organizations.  V</w:t>
      </w:r>
      <w:r w:rsidR="00F74B2F">
        <w:t xml:space="preserve">alue chains organized around a </w:t>
      </w:r>
      <w:r w:rsidR="0039562A">
        <w:t xml:space="preserve">singular, </w:t>
      </w:r>
      <w:r w:rsidR="00F74B2F">
        <w:t xml:space="preserve">coherent logic commonly shared by its members </w:t>
      </w:r>
      <w:r w:rsidR="0039562A">
        <w:t xml:space="preserve">may </w:t>
      </w:r>
      <w:r w:rsidR="009A0143">
        <w:t>be well described by an economic framework rendering an open systems framework less meaningful.</w:t>
      </w:r>
      <w:r w:rsidR="00F74B2F">
        <w:t xml:space="preserve"> </w:t>
      </w:r>
      <w:r w:rsidR="009A0143">
        <w:lastRenderedPageBreak/>
        <w:t>Consider, for instance, the oil industry value chain. O</w:t>
      </w:r>
      <w:r w:rsidR="00F74B2F">
        <w:t xml:space="preserve">ne may be appalled by the windfall profits of oil companies at times of rising gas prices, but one accepts it as business practice. As such, while legitimacy is important (e.g., oil companies resist perceptions of price gouging), its role in organizational effectiveness is not overtly enhanced. </w:t>
      </w:r>
      <w:r w:rsidR="009A0143">
        <w:t>T</w:t>
      </w:r>
      <w:r w:rsidR="00F74B2F">
        <w:t>he American Petroleum Institute’s chief economist, John Felmy, recently provided details of industry costing to assert that industry “profits are not much higher than those of large industrial companies” and, in fact, some refiners are “losing money” (</w:t>
      </w:r>
      <w:r w:rsidR="00DD6DC7">
        <w:t>Esch</w:t>
      </w:r>
      <w:r w:rsidR="00F74B2F">
        <w:t xml:space="preserve"> 2008). </w:t>
      </w:r>
      <w:r w:rsidR="00A6267C">
        <w:t>T</w:t>
      </w:r>
      <w:r w:rsidR="00F74B2F">
        <w:t xml:space="preserve">he industry felt no compulsion to outline actions for </w:t>
      </w:r>
      <w:r w:rsidR="002E48CE" w:rsidRPr="002E48CE">
        <w:rPr>
          <w:i/>
          <w:iCs/>
        </w:rPr>
        <w:t>enhancing</w:t>
      </w:r>
      <w:r w:rsidR="00F74B2F">
        <w:t xml:space="preserve"> its legitimacy such as increase supplies or production efficiency to reduce costs. </w:t>
      </w:r>
      <w:r w:rsidR="00FC4F85">
        <w:t xml:space="preserve"> </w:t>
      </w:r>
    </w:p>
    <w:p w:rsidR="00F74B2F" w:rsidRDefault="007C5AAF" w:rsidP="00FC4F85">
      <w:pPr>
        <w:pStyle w:val="StyleLinespacingDouble"/>
      </w:pPr>
      <w:r>
        <w:t>O</w:t>
      </w:r>
      <w:r w:rsidR="009A0143">
        <w:t xml:space="preserve">ur </w:t>
      </w:r>
      <w:r w:rsidR="004B27ED">
        <w:t>position</w:t>
      </w:r>
      <w:r w:rsidR="009A0143">
        <w:t xml:space="preserve"> is that open systems framework is more appropriate, and </w:t>
      </w:r>
      <w:r w:rsidR="00F74B2F">
        <w:t xml:space="preserve">legitimacy risk </w:t>
      </w:r>
      <w:r w:rsidR="009A0143">
        <w:t xml:space="preserve">more relevant </w:t>
      </w:r>
      <w:r w:rsidR="00F74B2F">
        <w:t xml:space="preserve">for organizations that are embedded in value chains characterized by </w:t>
      </w:r>
      <w:r w:rsidR="009A0143">
        <w:t>c</w:t>
      </w:r>
      <w:r w:rsidR="00F74B2F">
        <w:t>onflict</w:t>
      </w:r>
      <w:r w:rsidR="009A0143">
        <w:t>ed logics</w:t>
      </w:r>
      <w:r w:rsidR="00F74B2F">
        <w:t xml:space="preserve">. </w:t>
      </w:r>
      <w:r w:rsidR="004B27ED">
        <w:t xml:space="preserve">In such value chains, market action motivated by singular economic objective of creating and extracting value is likely to exacerbate the conflict of logics, and diminish organizational legitimacy.  </w:t>
      </w:r>
      <w:r w:rsidR="00FC4F85">
        <w:t xml:space="preserve">For instance, </w:t>
      </w:r>
      <w:r w:rsidR="004B27ED">
        <w:t xml:space="preserve">in our study, we show that pharmaceutical marketing </w:t>
      </w:r>
      <w:r w:rsidR="00FC4F85">
        <w:t xml:space="preserve">strategies </w:t>
      </w:r>
      <w:r w:rsidR="004C4FBB">
        <w:t xml:space="preserve">escalate system conflict within the value chain </w:t>
      </w:r>
      <w:r w:rsidR="00FC4F85">
        <w:t xml:space="preserve">because they exploit the very mechanisms that </w:t>
      </w:r>
      <w:r w:rsidR="004C4FBB">
        <w:t xml:space="preserve">physicians have institutionalized to preserve </w:t>
      </w:r>
      <w:r w:rsidR="00FC4F85">
        <w:t>impersonal trust necessary for the legitimacy of the</w:t>
      </w:r>
      <w:r w:rsidR="004C4FBB">
        <w:t xml:space="preserve"> medical</w:t>
      </w:r>
      <w:r w:rsidR="00FC4F85">
        <w:t xml:space="preserve"> profession</w:t>
      </w:r>
      <w:r w:rsidR="004C4FBB">
        <w:t xml:space="preserve"> (Mello and Messing 2008; Fugh-Berman 2008; Orentlicher 2010).  </w:t>
      </w:r>
      <w:r w:rsidR="00F74B2F">
        <w:t xml:space="preserve">For instance, the stated motivation for the AAMC task force for </w:t>
      </w:r>
      <w:r w:rsidR="000548A2">
        <w:t>prescribing</w:t>
      </w:r>
      <w:r w:rsidR="00F74B2F">
        <w:t xml:space="preserve"> industry-profession interactions is “all real or perceived conflicts of interest” concerns that stem from “increasingly dependent” relationships between the physicians and pharmaceutical industry (AAMC 2008, p. iii.). Likewise, the American Medical Association responded to numerous complaints by physicians troubled by </w:t>
      </w:r>
      <w:r w:rsidR="000D745F">
        <w:t>aggressive tactics of</w:t>
      </w:r>
      <w:r w:rsidR="00F74B2F">
        <w:t xml:space="preserve"> drug sales representatives to implement an “opt-out” program for physicians to remove their data from the Physician Master</w:t>
      </w:r>
      <w:r w:rsidR="00DD6DC7">
        <w:t xml:space="preserve"> </w:t>
      </w:r>
      <w:r w:rsidR="00F74B2F">
        <w:t>file used by the industry to target and track physicians</w:t>
      </w:r>
      <w:r w:rsidR="00D32E86">
        <w:t>’ prescribing patterns</w:t>
      </w:r>
      <w:r w:rsidR="00F74B2F">
        <w:t xml:space="preserve"> (O’Reilly 2006).  A Gall</w:t>
      </w:r>
      <w:r w:rsidR="006859DD">
        <w:t>u</w:t>
      </w:r>
      <w:r w:rsidR="00F74B2F">
        <w:t>p survey of physicians who opted-out of the Masterfile program indicate</w:t>
      </w:r>
      <w:r w:rsidR="000D745F">
        <w:t>d</w:t>
      </w:r>
      <w:r w:rsidR="00F74B2F">
        <w:t xml:space="preserve"> that 60% would be willing to change their mind if they were assured that the prescribing data was used to support public good, not marketing practices (O’Reilly 2006). Thus, legitimacy risks can escalate with increasing </w:t>
      </w:r>
      <w:r w:rsidR="00F74B2F">
        <w:lastRenderedPageBreak/>
        <w:t>intensity of conflict</w:t>
      </w:r>
      <w:r w:rsidR="000D745F">
        <w:t>ed logics</w:t>
      </w:r>
      <w:r w:rsidR="00F74B2F">
        <w:t xml:space="preserve">, and undermine long term gains usually flowing from collaborative relationships with value chain partners (Bansal </w:t>
      </w:r>
      <w:r w:rsidR="0062187E">
        <w:t>and</w:t>
      </w:r>
      <w:r w:rsidR="00F74B2F">
        <w:t xml:space="preserve"> Clelland 2004). </w:t>
      </w:r>
    </w:p>
    <w:p w:rsidR="004D61DF" w:rsidRDefault="00E4774A" w:rsidP="002970AC">
      <w:pPr>
        <w:pStyle w:val="StyleLinespacingDouble"/>
      </w:pPr>
      <w:r>
        <w:t xml:space="preserve">From the standpoint of managerial practice, </w:t>
      </w:r>
      <w:r w:rsidR="002970AC">
        <w:t xml:space="preserve">it is appropriate to </w:t>
      </w:r>
      <w:r>
        <w:t xml:space="preserve">question </w:t>
      </w:r>
      <w:r w:rsidR="002970AC">
        <w:t xml:space="preserve">if legitimacy is </w:t>
      </w:r>
      <w:r w:rsidR="00C73EB6">
        <w:t xml:space="preserve">resistant to direct </w:t>
      </w:r>
      <w:r w:rsidR="008D1E9E">
        <w:t xml:space="preserve">managerial intervention because it is conceptually </w:t>
      </w:r>
      <w:r w:rsidR="002970AC">
        <w:t xml:space="preserve">nebulous </w:t>
      </w:r>
      <w:r w:rsidR="008D1E9E">
        <w:t>and pragmatically resil</w:t>
      </w:r>
      <w:r w:rsidR="002970AC">
        <w:t>ient</w:t>
      </w:r>
      <w:r w:rsidR="008D1E9E">
        <w:t xml:space="preserve"> to</w:t>
      </w:r>
      <w:r w:rsidR="002970AC">
        <w:t xml:space="preserve"> managerial </w:t>
      </w:r>
      <w:r w:rsidR="00C73EB6">
        <w:t xml:space="preserve">control.  After all, legitimacy, like reputation, is earned not manufactured or </w:t>
      </w:r>
      <w:r w:rsidR="00A4277F">
        <w:t>acquired</w:t>
      </w:r>
      <w:r w:rsidR="00C73EB6">
        <w:t xml:space="preserve">. </w:t>
      </w:r>
      <w:r w:rsidR="00347622">
        <w:t xml:space="preserve">As such, the relevant organizational challenge is not how to manipulate legitimacy assessments of its value chain partners, but </w:t>
      </w:r>
      <w:r w:rsidR="00663971">
        <w:t>to understand how managerial action builds or depletes legitimacy assessments, and how to repair legitimacy breeches.  For instance, Su</w:t>
      </w:r>
      <w:r w:rsidR="002970AC">
        <w:t>chman (1995) notes</w:t>
      </w:r>
      <w:r w:rsidR="00663971">
        <w:t xml:space="preserve"> that </w:t>
      </w:r>
      <w:r w:rsidR="002970AC">
        <w:t>legitimacy response is a strategic issue and mending legitimacy breeches may require managers to decouple or disassociate from offending activities, institute credible monitoring controls, restructure market arrangements, or engage in aggressive damage control</w:t>
      </w:r>
      <w:r w:rsidR="00663971">
        <w:t>.</w:t>
      </w:r>
      <w:r w:rsidR="002970AC">
        <w:t xml:space="preserve"> Whether such managerial action mends or exacerbates legitimacy breeches </w:t>
      </w:r>
      <w:r w:rsidR="00A43190">
        <w:t xml:space="preserve">within the value chain </w:t>
      </w:r>
      <w:r w:rsidR="002970AC">
        <w:t xml:space="preserve">is an important line for theorizing and empirical work. </w:t>
      </w:r>
      <w:r w:rsidR="00EF40A7">
        <w:t>The proposed open systems</w:t>
      </w:r>
      <w:r w:rsidR="002970AC">
        <w:t xml:space="preserve"> framework offers </w:t>
      </w:r>
      <w:r w:rsidR="00663971">
        <w:t>several lines of inquiry for exploring the preceding issues</w:t>
      </w:r>
      <w:r w:rsidR="00AA3815">
        <w:t xml:space="preserve"> as </w:t>
      </w:r>
      <w:r w:rsidR="00E64504">
        <w:t>noted</w:t>
      </w:r>
      <w:r w:rsidR="00AA3815">
        <w:t xml:space="preserve"> in Table 3.</w:t>
      </w:r>
    </w:p>
    <w:p w:rsidR="00F74B2F" w:rsidRPr="0001733D" w:rsidRDefault="004C4FBB" w:rsidP="0022291A">
      <w:pPr>
        <w:pStyle w:val="StyleLinespacingDouble"/>
        <w:ind w:firstLine="0"/>
        <w:outlineLvl w:val="0"/>
        <w:rPr>
          <w:b/>
          <w:bCs/>
          <w:i/>
          <w:iCs/>
        </w:rPr>
      </w:pPr>
      <w:r>
        <w:rPr>
          <w:b/>
          <w:bCs/>
          <w:i/>
          <w:iCs/>
        </w:rPr>
        <w:t xml:space="preserve">Premises </w:t>
      </w:r>
    </w:p>
    <w:p w:rsidR="005D40A3" w:rsidRDefault="00754402" w:rsidP="00EF40A7">
      <w:pPr>
        <w:pStyle w:val="StyleLinespacingDouble"/>
      </w:pPr>
      <w:r>
        <w:t>The economic and open system</w:t>
      </w:r>
      <w:r w:rsidR="007C5AAF">
        <w:t>s</w:t>
      </w:r>
      <w:r>
        <w:t xml:space="preserve"> </w:t>
      </w:r>
      <w:r w:rsidR="00D75D94">
        <w:t xml:space="preserve">frameworks differ in their underlying premises.  Specifically, in contrast to </w:t>
      </w:r>
      <w:r w:rsidR="00E03835">
        <w:t xml:space="preserve">economic framework’s premise of </w:t>
      </w:r>
      <w:r w:rsidR="002970AC">
        <w:t xml:space="preserve">autonomous managerial action (March 1996), </w:t>
      </w:r>
      <w:r w:rsidR="001042DB">
        <w:t xml:space="preserve">the </w:t>
      </w:r>
      <w:r w:rsidR="005D40A3">
        <w:t xml:space="preserve">proposed </w:t>
      </w:r>
      <w:r w:rsidR="00EF40A7">
        <w:t>open system</w:t>
      </w:r>
      <w:r w:rsidR="007C5AAF">
        <w:t>s</w:t>
      </w:r>
      <w:r w:rsidR="002970AC">
        <w:t xml:space="preserve"> framework </w:t>
      </w:r>
      <w:r w:rsidR="005D40A3">
        <w:t>is</w:t>
      </w:r>
      <w:r w:rsidR="002970AC">
        <w:t xml:space="preserve"> </w:t>
      </w:r>
      <w:r w:rsidR="00D75D94">
        <w:t xml:space="preserve">premised on the notion of </w:t>
      </w:r>
      <w:r w:rsidR="009D3F2A">
        <w:t xml:space="preserve">action-system </w:t>
      </w:r>
      <w:r w:rsidR="009D3F2A" w:rsidRPr="005255E0">
        <w:t>interdependence</w:t>
      </w:r>
      <w:r w:rsidR="007910EE" w:rsidRPr="007910EE">
        <w:t>.</w:t>
      </w:r>
      <w:r w:rsidR="002970AC" w:rsidRPr="005255E0">
        <w:t xml:space="preserve"> </w:t>
      </w:r>
      <w:r w:rsidR="0047462E" w:rsidRPr="00632A67">
        <w:t>Rooted</w:t>
      </w:r>
      <w:r w:rsidR="0047462E">
        <w:t xml:space="preserve"> in the notion of a “rational man,” </w:t>
      </w:r>
      <w:r w:rsidR="008F4EDF">
        <w:t>the</w:t>
      </w:r>
      <w:r w:rsidR="0047462E">
        <w:t xml:space="preserve"> economic framework </w:t>
      </w:r>
      <w:r w:rsidR="00C632D7">
        <w:t xml:space="preserve">holds that </w:t>
      </w:r>
      <w:r w:rsidR="00EF40A7">
        <w:t xml:space="preserve">individual managers </w:t>
      </w:r>
      <w:r w:rsidR="0014315B">
        <w:t xml:space="preserve">largely </w:t>
      </w:r>
      <w:r w:rsidR="00EF40A7">
        <w:t xml:space="preserve">hold agency for action, and their collective actions are the key to understanding how institutional systems are </w:t>
      </w:r>
      <w:r w:rsidR="00AC4770">
        <w:t xml:space="preserve">structured </w:t>
      </w:r>
      <w:r w:rsidR="00EF40A7">
        <w:t xml:space="preserve">and shaped over time, and how </w:t>
      </w:r>
      <w:r w:rsidR="00E03835">
        <w:t xml:space="preserve">these </w:t>
      </w:r>
      <w:r w:rsidR="00EF40A7">
        <w:t xml:space="preserve">system dynamics, in turn, influence organizational outcomes. Indeed, </w:t>
      </w:r>
      <w:r w:rsidR="0014315B">
        <w:t xml:space="preserve">the economic framework does not assert that </w:t>
      </w:r>
      <w:r w:rsidR="00EF40A7">
        <w:t>institutional systems</w:t>
      </w:r>
      <w:r w:rsidR="0014315B">
        <w:t xml:space="preserve"> are swayed by </w:t>
      </w:r>
      <w:r w:rsidR="00841F8C">
        <w:t>any single</w:t>
      </w:r>
      <w:r w:rsidR="0014315B">
        <w:t xml:space="preserve"> manager.  Rather, it posits that</w:t>
      </w:r>
      <w:r w:rsidR="00EF40A7">
        <w:t xml:space="preserve"> managers in an industry often share common schemas of their institutional environments and, as common patterns of managerial action emerge, their collective actions are powerful forces in influencing organizational, value chain, and institutional outcomes (George et al. 2006).</w:t>
      </w:r>
      <w:r w:rsidR="00EF40A7" w:rsidRPr="0011057C">
        <w:t xml:space="preserve"> </w:t>
      </w:r>
      <w:r w:rsidR="00EF40A7">
        <w:t xml:space="preserve"> </w:t>
      </w:r>
    </w:p>
    <w:p w:rsidR="00DD47A8" w:rsidRDefault="00AC4770" w:rsidP="000F015D">
      <w:pPr>
        <w:pStyle w:val="StyleLinespacingDouble"/>
      </w:pPr>
      <w:r>
        <w:lastRenderedPageBreak/>
        <w:t xml:space="preserve">By contrast, the open systems framework </w:t>
      </w:r>
      <w:r w:rsidR="00841F8C">
        <w:t xml:space="preserve">adopts a constrained </w:t>
      </w:r>
      <w:r w:rsidR="00571C47">
        <w:t xml:space="preserve">role </w:t>
      </w:r>
      <w:r w:rsidR="00F33004">
        <w:t>for</w:t>
      </w:r>
      <w:r w:rsidR="00571C47">
        <w:t xml:space="preserve"> </w:t>
      </w:r>
      <w:r>
        <w:t xml:space="preserve">managerial agency while emphasizing </w:t>
      </w:r>
      <w:r w:rsidR="00571C47">
        <w:t xml:space="preserve">the role of </w:t>
      </w:r>
      <w:r>
        <w:t>action-system interdependence</w:t>
      </w:r>
      <w:r w:rsidR="00571C47">
        <w:t xml:space="preserve">.  </w:t>
      </w:r>
      <w:r w:rsidR="009D3F2A">
        <w:t xml:space="preserve">Sidestepping </w:t>
      </w:r>
      <w:r w:rsidR="000F015D">
        <w:t xml:space="preserve">both </w:t>
      </w:r>
      <w:r w:rsidR="009D3F2A">
        <w:t>the agency versus structure debate and paradox of embedded agency</w:t>
      </w:r>
      <w:r w:rsidR="000F015D">
        <w:t xml:space="preserve"> (</w:t>
      </w:r>
      <w:r w:rsidR="00632A67">
        <w:t xml:space="preserve">Heugens </w:t>
      </w:r>
      <w:r w:rsidR="00A43190">
        <w:t>and</w:t>
      </w:r>
      <w:r w:rsidR="00632A67">
        <w:t xml:space="preserve"> Lander 2009)</w:t>
      </w:r>
      <w:r w:rsidR="009D3F2A">
        <w:t>, an open system</w:t>
      </w:r>
      <w:r w:rsidR="007C5AAF">
        <w:t>s</w:t>
      </w:r>
      <w:r w:rsidR="009D3F2A">
        <w:t xml:space="preserve"> perspective recognizes that managers hold agency in shaping institutional structures and processes; however, it does not accord agency the status of taken for granted as per the economic framework.  Rather, </w:t>
      </w:r>
      <w:r w:rsidR="008574CD">
        <w:t>an open system</w:t>
      </w:r>
      <w:r w:rsidR="007C5AAF">
        <w:t xml:space="preserve"> framework</w:t>
      </w:r>
      <w:r w:rsidR="009D3F2A">
        <w:t xml:space="preserve"> views </w:t>
      </w:r>
      <w:r w:rsidR="000F015D">
        <w:t xml:space="preserve">managerial actions to be just as empowered as they </w:t>
      </w:r>
      <w:r w:rsidR="008F4EDF">
        <w:t>are</w:t>
      </w:r>
      <w:r w:rsidR="000F015D">
        <w:t xml:space="preserve"> constrained by the institutional structures and processes </w:t>
      </w:r>
      <w:r w:rsidR="00632A67">
        <w:t xml:space="preserve">that embed their </w:t>
      </w:r>
      <w:r w:rsidR="000F015D">
        <w:t>actions</w:t>
      </w:r>
      <w:r w:rsidR="00632A67">
        <w:t>.</w:t>
      </w:r>
      <w:r w:rsidR="000F015D">
        <w:t xml:space="preserve">  This open </w:t>
      </w:r>
      <w:r w:rsidR="00F33004">
        <w:t>system</w:t>
      </w:r>
      <w:r w:rsidR="007C5AAF">
        <w:t>s</w:t>
      </w:r>
      <w:r w:rsidR="00F33004">
        <w:t xml:space="preserve"> </w:t>
      </w:r>
      <w:r w:rsidR="000F015D">
        <w:t>view of managerial action</w:t>
      </w:r>
      <w:r w:rsidR="00070603">
        <w:t>,</w:t>
      </w:r>
      <w:r w:rsidR="000F015D">
        <w:t xml:space="preserve"> empowered </w:t>
      </w:r>
      <w:r w:rsidR="00452BF6" w:rsidRPr="00452BF6">
        <w:rPr>
          <w:i/>
        </w:rPr>
        <w:t>and</w:t>
      </w:r>
      <w:r w:rsidR="00070603">
        <w:t xml:space="preserve"> </w:t>
      </w:r>
      <w:r w:rsidR="000F015D">
        <w:t>constrained</w:t>
      </w:r>
      <w:r w:rsidR="00070603">
        <w:t>,</w:t>
      </w:r>
      <w:r w:rsidR="000F015D">
        <w:t xml:space="preserve"> is </w:t>
      </w:r>
      <w:r w:rsidR="00632A67">
        <w:t>referred to as</w:t>
      </w:r>
      <w:r w:rsidR="0001212F">
        <w:t xml:space="preserve"> action-system interdependence.  </w:t>
      </w:r>
      <w:r w:rsidR="00070603">
        <w:t xml:space="preserve">Dating back to </w:t>
      </w:r>
      <w:r w:rsidR="00867DF0">
        <w:t>a</w:t>
      </w:r>
      <w:r w:rsidR="00070603">
        <w:t>ction theory (Parsons 195</w:t>
      </w:r>
      <w:r w:rsidR="00A43190">
        <w:t>6</w:t>
      </w:r>
      <w:r w:rsidR="00070603">
        <w:t xml:space="preserve">), action-system interdependence </w:t>
      </w:r>
      <w:r w:rsidR="00DD47A8">
        <w:t>implies that individuals construct actions from repertoires available in the institutional system; yet, actions are interpreted or are effective in catalyzing change depends on processes of sense-making and response by other actors in the system.</w:t>
      </w:r>
    </w:p>
    <w:p w:rsidR="000F015D" w:rsidRDefault="000F015D" w:rsidP="000F015D">
      <w:pPr>
        <w:pStyle w:val="StyleLinespacingDouble"/>
      </w:pPr>
      <w:r>
        <w:t xml:space="preserve">The pharmaceutical value chain is </w:t>
      </w:r>
      <w:r w:rsidR="00DD47A8">
        <w:t xml:space="preserve">a prototypical </w:t>
      </w:r>
      <w:r>
        <w:t xml:space="preserve">instance of such interdependence. </w:t>
      </w:r>
      <w:r w:rsidR="009842B3">
        <w:t xml:space="preserve"> Fiduciary responsibility requires subordinating self interest in the service of external constituencies (e.g., pubic, society), enlarging the scope of the system and exposing it to external scrutiny.  </w:t>
      </w:r>
      <w:r>
        <w:t>Considerable evidence exists to suggest that market actors in such systems are often blind sighted by implications of action-system interdependence and fall prey to its counter-intuitive dynamics</w:t>
      </w:r>
      <w:r w:rsidR="009842B3">
        <w:t xml:space="preserve"> when they become overly focused on their internal logics</w:t>
      </w:r>
      <w:r>
        <w:t xml:space="preserve">. </w:t>
      </w:r>
      <w:r w:rsidR="008F4EDF">
        <w:t>Notable instance</w:t>
      </w:r>
      <w:r w:rsidR="00F33004">
        <w:t>s</w:t>
      </w:r>
      <w:r w:rsidR="008F4EDF">
        <w:t xml:space="preserve"> of such blind sighting include </w:t>
      </w:r>
      <w:r>
        <w:t xml:space="preserve">Arthur Anderson in the auditing scandal, Student Loan Xpress in the student loan disaster, Lincoln Savings and Loan in the S&amp;L crisis, </w:t>
      </w:r>
      <w:r w:rsidR="000730CD">
        <w:t xml:space="preserve">and </w:t>
      </w:r>
      <w:r>
        <w:t>AIG insurance and Prudential in the insurance industry debacle.</w:t>
      </w:r>
    </w:p>
    <w:p w:rsidR="00FA7662" w:rsidRDefault="0014315B" w:rsidP="0014315B">
      <w:pPr>
        <w:pStyle w:val="StyleLinespacingDouble"/>
      </w:pPr>
      <w:r>
        <w:t xml:space="preserve">The two frameworks also differ in their premise for the equilibrium state of the market </w:t>
      </w:r>
      <w:r w:rsidR="0071583C">
        <w:t>(or lack thereof)</w:t>
      </w:r>
      <w:r>
        <w:t xml:space="preserve">.  </w:t>
      </w:r>
      <w:r w:rsidR="0071583C">
        <w:t>Market equilibrium is a premise of the</w:t>
      </w:r>
      <w:r>
        <w:t xml:space="preserve"> economic </w:t>
      </w:r>
      <w:r w:rsidR="000A7B08">
        <w:t>framework</w:t>
      </w:r>
      <w:r w:rsidR="0071583C">
        <w:t xml:space="preserve">, </w:t>
      </w:r>
      <w:r w:rsidR="008F4EDF">
        <w:t>such that</w:t>
      </w:r>
      <w:r w:rsidR="000A7B08">
        <w:t xml:space="preserve"> market actors are assumed to exercise agency to move markets toward </w:t>
      </w:r>
      <w:r w:rsidR="000730CD">
        <w:t xml:space="preserve">a </w:t>
      </w:r>
      <w:r>
        <w:t>stab</w:t>
      </w:r>
      <w:r w:rsidR="000730CD">
        <w:t>le,</w:t>
      </w:r>
      <w:r w:rsidR="00B5568E">
        <w:t xml:space="preserve"> steady state.  </w:t>
      </w:r>
      <w:r w:rsidR="00CC6956">
        <w:t xml:space="preserve">An </w:t>
      </w:r>
      <w:r w:rsidR="00B5568E">
        <w:t xml:space="preserve">equilibrium state is thought to be more likely when the value chain is aligned </w:t>
      </w:r>
      <w:r w:rsidR="00F33004">
        <w:t xml:space="preserve">with a </w:t>
      </w:r>
      <w:r w:rsidR="00B5568E">
        <w:t xml:space="preserve">singular institutional logic by design, default or managerial agency.  By contrast, </w:t>
      </w:r>
      <w:r w:rsidR="007A05D7">
        <w:t xml:space="preserve">an open system is </w:t>
      </w:r>
      <w:r w:rsidR="007A05D7">
        <w:lastRenderedPageBreak/>
        <w:t xml:space="preserve">agnostic to market state and is inherently antithetical to stable, orderly and equilibrating processes of market evolution and shift.  Consistent with its foundations in </w:t>
      </w:r>
      <w:r w:rsidR="001E5D04">
        <w:t xml:space="preserve">conflicted </w:t>
      </w:r>
      <w:r w:rsidR="00FA7662">
        <w:t xml:space="preserve">logics, </w:t>
      </w:r>
      <w:r w:rsidR="001E5D04">
        <w:t>an open system</w:t>
      </w:r>
      <w:r w:rsidR="000730CD">
        <w:t>s</w:t>
      </w:r>
      <w:r w:rsidR="001E5D04">
        <w:t xml:space="preserve"> framework is more compatible with </w:t>
      </w:r>
      <w:r w:rsidR="00F33004">
        <w:t xml:space="preserve">the </w:t>
      </w:r>
      <w:r w:rsidR="001E5D04">
        <w:t>premise of disorderly movement where markets become arenas of contested logics</w:t>
      </w:r>
      <w:r w:rsidR="00F33004">
        <w:t xml:space="preserve"> that</w:t>
      </w:r>
      <w:r w:rsidR="001E5D04">
        <w:t xml:space="preserve"> risk </w:t>
      </w:r>
      <w:r w:rsidR="00FA7662">
        <w:t xml:space="preserve">negative system spirals </w:t>
      </w:r>
      <w:r w:rsidR="00867DF0">
        <w:t xml:space="preserve">and are </w:t>
      </w:r>
      <w:r w:rsidR="00FA7662">
        <w:t xml:space="preserve">marked by increased conflict, aggressive retaliation, and eroding cooperation </w:t>
      </w:r>
      <w:r w:rsidR="001E5D04">
        <w:t>among value chain partners</w:t>
      </w:r>
      <w:r w:rsidR="00FA7662">
        <w:t xml:space="preserve">. </w:t>
      </w:r>
      <w:r w:rsidR="001E5D04">
        <w:t xml:space="preserve"> </w:t>
      </w:r>
    </w:p>
    <w:p w:rsidR="00B5568E" w:rsidRDefault="004F7025" w:rsidP="0014315B">
      <w:pPr>
        <w:pStyle w:val="StyleLinespacingDouble"/>
      </w:pPr>
      <w:r>
        <w:t xml:space="preserve">It is important to note that </w:t>
      </w:r>
      <w:r w:rsidR="00FA7662">
        <w:t>the open system</w:t>
      </w:r>
      <w:r w:rsidR="000730CD">
        <w:t>s</w:t>
      </w:r>
      <w:r w:rsidR="00FA7662">
        <w:t xml:space="preserve"> framework is not premised on inevitable negative spirals.  Just that this </w:t>
      </w:r>
      <w:r w:rsidR="00FA7662" w:rsidRPr="00602362">
        <w:rPr>
          <w:i/>
          <w:iCs/>
        </w:rPr>
        <w:t>could</w:t>
      </w:r>
      <w:r w:rsidR="00FA7662">
        <w:t xml:space="preserve"> and </w:t>
      </w:r>
      <w:r w:rsidR="00FA7662" w:rsidRPr="00602362">
        <w:rPr>
          <w:i/>
          <w:iCs/>
        </w:rPr>
        <w:t>does</w:t>
      </w:r>
      <w:r w:rsidR="00FA7662">
        <w:t xml:space="preserve"> happen. The fundamental point is that system dynamics evolve in response to interactions </w:t>
      </w:r>
      <w:r w:rsidR="000730CD">
        <w:t xml:space="preserve">among </w:t>
      </w:r>
      <w:r w:rsidR="00FA7662">
        <w:t xml:space="preserve">market actors, </w:t>
      </w:r>
      <w:r w:rsidR="000730CD">
        <w:t xml:space="preserve">often resulting in </w:t>
      </w:r>
      <w:r w:rsidR="00FA7662">
        <w:t xml:space="preserve">emergence of new types of actors, relations, and networks (Katz and Kahn 1966). As per systems theory, order and structure emerge in a bottom-up, self organizing way from the micro-interactions among market actors making the process nonlinear, path dependent, and unpredictable. The emerging order and structure are not necessarily conducive for the survival and growth of individual market actors. </w:t>
      </w:r>
      <w:r w:rsidR="00FD454E">
        <w:t>Nevertheless, m</w:t>
      </w:r>
      <w:r w:rsidR="00FA7662">
        <w:t xml:space="preserve">anagerial intuition </w:t>
      </w:r>
      <w:r w:rsidR="00FD454E">
        <w:t>and</w:t>
      </w:r>
      <w:r w:rsidR="00FA7662">
        <w:t xml:space="preserve"> instruments of “planning and strateg</w:t>
      </w:r>
      <w:r w:rsidR="00FD454E">
        <w:t>ic action</w:t>
      </w:r>
      <w:r w:rsidR="00FA7662">
        <w:t xml:space="preserve">” </w:t>
      </w:r>
      <w:r w:rsidR="00FD454E">
        <w:t xml:space="preserve">rooted in </w:t>
      </w:r>
      <w:r w:rsidR="00FA7662">
        <w:t xml:space="preserve">autonomous action may be problematic </w:t>
      </w:r>
      <w:r w:rsidR="00FD454E">
        <w:t>because they</w:t>
      </w:r>
      <w:r w:rsidR="00FA7662">
        <w:t xml:space="preserve"> promot</w:t>
      </w:r>
      <w:r w:rsidR="00FD454E">
        <w:t>e</w:t>
      </w:r>
      <w:r w:rsidR="00FA7662">
        <w:t xml:space="preserve"> system run downs (Wilkinson and Young 2007, p. 372). For survival and growth, actors “must move to arrest the entropic process” by drawing energy (negative entropy) from its environments through interdependent action that recognizes system as the unit of analysis, co-learning and collaboration as key system processes, and legitimacy as the desired outcome (March 1996).</w:t>
      </w:r>
      <w:r w:rsidR="001B4DF5">
        <w:t xml:space="preserve"> These possibilities are captured in our research </w:t>
      </w:r>
      <w:r w:rsidR="002324FD">
        <w:t xml:space="preserve">propositions </w:t>
      </w:r>
      <w:r w:rsidR="004D61DF">
        <w:t xml:space="preserve">presented in </w:t>
      </w:r>
      <w:r w:rsidR="001B4DF5">
        <w:t>Table 3.</w:t>
      </w:r>
    </w:p>
    <w:p w:rsidR="004F1C9F" w:rsidRDefault="00452BF6">
      <w:pPr>
        <w:pStyle w:val="StyleLinespacingDouble"/>
        <w:ind w:firstLine="0"/>
        <w:rPr>
          <w:b/>
          <w:i/>
        </w:rPr>
      </w:pPr>
      <w:r w:rsidRPr="00452BF6">
        <w:rPr>
          <w:b/>
          <w:i/>
        </w:rPr>
        <w:t>Key Questions and Mechanisms</w:t>
      </w:r>
    </w:p>
    <w:p w:rsidR="002E5DDD" w:rsidRDefault="002E5DDD" w:rsidP="002E5DDD">
      <w:pPr>
        <w:pStyle w:val="StyleLinespacingDouble"/>
      </w:pPr>
      <w:r>
        <w:t xml:space="preserve">The open systems and economic systems </w:t>
      </w:r>
      <w:r w:rsidR="0049189E">
        <w:t xml:space="preserve">offer contrasting pathways for </w:t>
      </w:r>
      <w:r>
        <w:t xml:space="preserve">inquiry </w:t>
      </w:r>
      <w:r w:rsidR="0049189E">
        <w:t xml:space="preserve">and practice.  Representing the current state of the literature, the economic framework focuses research inquiry on understanding how, when and why do market-mix instruments influence physician decision making, and in developing models for optimizing the return on market-mix investments.  </w:t>
      </w:r>
      <w:r w:rsidR="00F367F2">
        <w:t xml:space="preserve">Such inquiry is especially powerful when it can identify the unique and synergistic effects of clearly defined market mix instruments.  Much past research has used this framework </w:t>
      </w:r>
      <w:r w:rsidR="00F367F2">
        <w:lastRenderedPageBreak/>
        <w:t xml:space="preserve">to study effects of diverse instruments </w:t>
      </w:r>
      <w:r w:rsidR="00C71C01">
        <w:t xml:space="preserve">such as </w:t>
      </w:r>
      <w:r w:rsidR="00F367F2">
        <w:t xml:space="preserve">detailing, sampling and advertising.  </w:t>
      </w:r>
      <w:r w:rsidR="00C71C01">
        <w:t xml:space="preserve">Consistent with its premises, the economic framework </w:t>
      </w:r>
      <w:r w:rsidR="00BB3F2C">
        <w:t xml:space="preserve">asserts </w:t>
      </w:r>
      <w:r w:rsidR="00C71C01">
        <w:t xml:space="preserve">that managers can use the evidence of market mix effects to make </w:t>
      </w:r>
      <w:r w:rsidR="009F1027">
        <w:t xml:space="preserve">top-down </w:t>
      </w:r>
      <w:r w:rsidR="00C71C01">
        <w:t>decisions that set up incentives to structure market exchanges in way that is favorable to the organization.</w:t>
      </w:r>
    </w:p>
    <w:p w:rsidR="002E5DDD" w:rsidRDefault="00BB3F2C" w:rsidP="002E5DDD">
      <w:pPr>
        <w:pStyle w:val="StyleLinespacingDouble"/>
      </w:pPr>
      <w:r>
        <w:t xml:space="preserve">The open systems framework shifts inquiry and practice attention away from ROI of market mix instruments and toward market action and its legitimacy implications.  </w:t>
      </w:r>
      <w:r w:rsidR="00C61013">
        <w:t xml:space="preserve">By using market action as the </w:t>
      </w:r>
      <w:r>
        <w:t>unit of analysis</w:t>
      </w:r>
      <w:r w:rsidR="00C61013">
        <w:t xml:space="preserve">, the open systems approach places more emphasis on strategies that underlie market action, and </w:t>
      </w:r>
      <w:r w:rsidR="00FA0C14">
        <w:t xml:space="preserve">in understanding </w:t>
      </w:r>
      <w:r w:rsidR="00C61013">
        <w:t xml:space="preserve">how market action is interpreted to construct legitimacy judgments.  </w:t>
      </w:r>
      <w:r w:rsidR="00FA0C14">
        <w:t>Because market action is centered on the actor and legitimacy on the partners and observers who interact with or are exposed to the actor, the open systems adopts a more holistic view in understanding how, when and why market action is effective.</w:t>
      </w:r>
    </w:p>
    <w:p w:rsidR="002E5DDD" w:rsidRDefault="00FA0C14" w:rsidP="002E5DDD">
      <w:pPr>
        <w:pStyle w:val="StyleLinespacingDouble"/>
      </w:pPr>
      <w:r>
        <w:t>Moreover</w:t>
      </w:r>
      <w:r w:rsidR="00C87433">
        <w:t>, the open systems approach offers</w:t>
      </w:r>
      <w:r w:rsidR="002E5DDD">
        <w:t xml:space="preserve"> novel concepts </w:t>
      </w:r>
      <w:r w:rsidR="00C87433">
        <w:t xml:space="preserve">for understanding value chain </w:t>
      </w:r>
      <w:r w:rsidR="002E5DDD">
        <w:t xml:space="preserve">system dynamics. For instance, </w:t>
      </w:r>
      <w:r w:rsidR="00C87433">
        <w:t xml:space="preserve">consider </w:t>
      </w:r>
      <w:r w:rsidR="002E5DDD" w:rsidRPr="005572EA">
        <w:t>the concepts of con</w:t>
      </w:r>
      <w:r w:rsidR="002E5DDD">
        <w:t>flicted</w:t>
      </w:r>
      <w:r w:rsidR="002E5DDD" w:rsidRPr="005572EA">
        <w:t xml:space="preserve"> logics and market dilemmas. The notion of contested logics focuses on </w:t>
      </w:r>
      <w:r w:rsidR="002E5DDD">
        <w:t xml:space="preserve">system </w:t>
      </w:r>
      <w:r w:rsidR="002E5DDD" w:rsidRPr="005572EA">
        <w:t xml:space="preserve">mechanisms triggered by </w:t>
      </w:r>
      <w:r w:rsidR="00C87433" w:rsidRPr="005572EA">
        <w:t xml:space="preserve">ongoing contests </w:t>
      </w:r>
      <w:r w:rsidR="002E5DDD" w:rsidRPr="005572EA">
        <w:t xml:space="preserve">among market actors </w:t>
      </w:r>
      <w:r w:rsidR="00C87433">
        <w:t xml:space="preserve">rooted in the </w:t>
      </w:r>
      <w:r w:rsidR="002E5DDD" w:rsidRPr="005572EA">
        <w:t xml:space="preserve">conflicted logics </w:t>
      </w:r>
      <w:r w:rsidR="00C87433">
        <w:t>of the value chain</w:t>
      </w:r>
      <w:r w:rsidR="002E5DDD" w:rsidRPr="005572EA">
        <w:t xml:space="preserve">. In some decisions, the </w:t>
      </w:r>
      <w:r w:rsidR="00C87433">
        <w:t xml:space="preserve">contests </w:t>
      </w:r>
      <w:r w:rsidR="002E5DDD" w:rsidRPr="005572EA">
        <w:t xml:space="preserve">may favor a consequential logic while for others the logic of appropriateness may hold sway. Outcome patterns of such contests over time and decisions shape the ebb and flow of </w:t>
      </w:r>
      <w:r w:rsidR="002E5DDD">
        <w:t>system dynamics</w:t>
      </w:r>
      <w:r w:rsidR="002E5DDD" w:rsidRPr="005572EA">
        <w:t>. Patterns that are heavily weighed by consequential logic may erode moral legitimacy, just as patterns tilted heavily by logic of appropriateness may exact a price in terms of pragmatic legitimacy. Although speculative, the notion of con</w:t>
      </w:r>
      <w:r w:rsidR="002E5DDD">
        <w:t>flicted</w:t>
      </w:r>
      <w:r w:rsidR="002E5DDD" w:rsidRPr="005572EA">
        <w:t xml:space="preserve"> logics as games of trust-value tradeoffs in micro-level managerial decisions provides a novel way of examining </w:t>
      </w:r>
      <w:r w:rsidR="002E5DDD">
        <w:t>system</w:t>
      </w:r>
      <w:r w:rsidR="002E5DDD" w:rsidRPr="005572EA">
        <w:t xml:space="preserve"> </w:t>
      </w:r>
      <w:r w:rsidR="002E5DDD">
        <w:t>dynamics.</w:t>
      </w:r>
      <w:r w:rsidR="002E5DDD" w:rsidRPr="005572EA">
        <w:t xml:space="preserve"> When tradeoffs persist as interactional routines that are reinforced over time, a market dilemma exists</w:t>
      </w:r>
      <w:r w:rsidR="002E5DDD">
        <w:t xml:space="preserve">. Such dilemmas may require policy intervention to set new ground rules for market exchanges that favor resolution of conflicts through market self-regulation. Likewise, when actors are sensitive to market dilemmas, they may be motivated to overcome </w:t>
      </w:r>
      <w:r w:rsidR="002E5DDD" w:rsidRPr="005572EA">
        <w:t>path dependencies to stem further legitimacy losses</w:t>
      </w:r>
      <w:r w:rsidR="002E5DDD">
        <w:t xml:space="preserve"> and avoid regulatory </w:t>
      </w:r>
      <w:r w:rsidR="002E5DDD">
        <w:lastRenderedPageBreak/>
        <w:t>intervention</w:t>
      </w:r>
      <w:r w:rsidR="002E5DDD" w:rsidRPr="005572EA">
        <w:t xml:space="preserve">. </w:t>
      </w:r>
      <w:r w:rsidR="002E5DDD">
        <w:t xml:space="preserve">The systems theory notions of equifinality—many different paths leading to the same outcomes, and entropy—progressive mechanization can be mitigated by arresting energy from the system, provide a foundation for understanding processes of contested logics and the resultant market dilemmas that </w:t>
      </w:r>
      <w:r w:rsidR="00C87433">
        <w:t xml:space="preserve">open new windows for </w:t>
      </w:r>
      <w:r w:rsidR="002E5DDD">
        <w:t>future research.</w:t>
      </w:r>
    </w:p>
    <w:p w:rsidR="003E72FA" w:rsidRDefault="00510A62" w:rsidP="002970AC">
      <w:pPr>
        <w:pStyle w:val="StyleLinespacingDouble"/>
      </w:pPr>
      <w:r>
        <w:t xml:space="preserve">Most notably, an open systems framework rejects the orderly, linear and largely predictable trajectory of market interactions implied by the economic framework.  Instead, it </w:t>
      </w:r>
      <w:r w:rsidR="00262464">
        <w:t xml:space="preserve">suggests that evolution of market dynamics occur as bottom-up processes that are resistant to predictable analytics.  </w:t>
      </w:r>
      <w:r>
        <w:t>However, recent work in co</w:t>
      </w:r>
      <w:r w:rsidR="00A43190">
        <w:t>-</w:t>
      </w:r>
      <w:r>
        <w:t xml:space="preserve">evolutionary game theory offers useful directions (Bergstrom </w:t>
      </w:r>
      <w:r w:rsidR="00A43190">
        <w:t>and</w:t>
      </w:r>
      <w:r>
        <w:t xml:space="preserve"> Lachmann 2003; Lewin </w:t>
      </w:r>
      <w:r w:rsidR="00A43190">
        <w:t>and</w:t>
      </w:r>
      <w:r>
        <w:t xml:space="preserve"> Volberda 1999). Drawing on biological principles of mutualistic interaction between two or more species that are embedded in a large milieu of a biological system, evolutionary game theorists examine questions such as what keeps the interaction from breaking down as individual species succumb to their own consequential logic, disorderly movement toward less differentiated structures and possible dissolution, how they allocate benefits of cooperation to avoid interaction breeches (e.g., market failure), why certain routines get replicated and reinforced and what makes certain species or systems to break away from their path dependencies to be more flexible and adaptable (Lewin </w:t>
      </w:r>
      <w:r w:rsidR="00A43190">
        <w:t>and</w:t>
      </w:r>
      <w:r>
        <w:t xml:space="preserve"> Volberda 1999).  Future research can build on this stream of work to more fully articulate the co-evolutionary processes involved in a</w:t>
      </w:r>
      <w:r w:rsidR="00262464">
        <w:t>n open systems</w:t>
      </w:r>
      <w:r>
        <w:t xml:space="preserve"> theory of interdependence.</w:t>
      </w:r>
    </w:p>
    <w:p w:rsidR="003E72FA" w:rsidRDefault="003E72FA" w:rsidP="003E72FA">
      <w:pPr>
        <w:pStyle w:val="StyleLinespacingDouble"/>
      </w:pPr>
      <w:r>
        <w:t xml:space="preserve">Viewing pharmaceutical value chain as an open system </w:t>
      </w:r>
      <w:r w:rsidR="003D4A6E">
        <w:t xml:space="preserve">centers attention on the </w:t>
      </w:r>
      <w:r>
        <w:t xml:space="preserve">recursive relationships among market actors (DiMaggio 1997; Giddens 1990). For instance, Moore et al. (2006) discuss the implications of interdependencies within the context of accounting organizations. Faced with legitimacy threats from persistent conflicts between their auditing and consulting functions, accounting firms aggressively pursued “cosmetic changes” that improved the appearance of auditor independence and “skillfully masked rent seeking in the rhetoric of the public good,” till the excesses of one organization (Enron) wrought a political and public backlash for a new institutional order (Moore et al. 2006, p. 20). </w:t>
      </w:r>
    </w:p>
    <w:p w:rsidR="00F94433" w:rsidRDefault="003D4A6E" w:rsidP="00FE0909">
      <w:pPr>
        <w:pStyle w:val="StyleLinespacingDouble"/>
      </w:pPr>
      <w:r>
        <w:lastRenderedPageBreak/>
        <w:t xml:space="preserve">A particularly provocative insight from an open systems perspective is that </w:t>
      </w:r>
      <w:r w:rsidR="003E72FA">
        <w:t xml:space="preserve">the dominant coordinating logic at any given point is not necessarily conducive for preserving legitimacy. System theorists note that, akin to biological evolution, socio-economic systems move in the direction of more differentiated mechanisms that initially allow nuanced, flexible and contingent resolution of conflicted logics but later tend to be drawn into progressive mechanization as dominant market actors assert “fixed arrangements” to gain efficiency and reduce complexity in </w:t>
      </w:r>
      <w:r>
        <w:t xml:space="preserve">market </w:t>
      </w:r>
      <w:r w:rsidR="003E72FA">
        <w:t>interactions</w:t>
      </w:r>
      <w:r>
        <w:t>.</w:t>
      </w:r>
      <w:r w:rsidR="003E72FA">
        <w:t xml:space="preserve"> However, progressive mechanization also tends to “gradually diminish and eventually abolish the equipotentiality” of the system as a whole thereby inhibiting its capacity to solve emergent problems rooted in system conflict (von Bertalanffy 1968; Katz and Kahn 1966). </w:t>
      </w:r>
      <w:r>
        <w:t xml:space="preserve"> Thus, an </w:t>
      </w:r>
      <w:r w:rsidR="003E72FA">
        <w:t>open system perspective broaden</w:t>
      </w:r>
      <w:r>
        <w:t>s</w:t>
      </w:r>
      <w:r w:rsidR="003E72FA">
        <w:t xml:space="preserve"> current conceptualizations to include the </w:t>
      </w:r>
      <w:r>
        <w:t xml:space="preserve">dynamics of </w:t>
      </w:r>
      <w:r w:rsidR="003E72FA">
        <w:t>recursive relationships among market actors</w:t>
      </w:r>
      <w:r w:rsidR="001B4DF5">
        <w:t xml:space="preserve"> and opens several avenues for future research as </w:t>
      </w:r>
      <w:r w:rsidR="002324FD">
        <w:t>outlined</w:t>
      </w:r>
      <w:r w:rsidR="001B4DF5">
        <w:t xml:space="preserve"> in Table 3. </w:t>
      </w:r>
      <w:r w:rsidR="003E72FA">
        <w:t xml:space="preserve"> </w:t>
      </w:r>
    </w:p>
    <w:p w:rsidR="00F74B2F" w:rsidRPr="001C496F" w:rsidRDefault="007618DE" w:rsidP="0022291A">
      <w:pPr>
        <w:pStyle w:val="StyleLinespacingDouble"/>
        <w:jc w:val="center"/>
        <w:outlineLvl w:val="0"/>
      </w:pPr>
      <w:r w:rsidRPr="001C496F">
        <w:rPr>
          <w:b/>
          <w:bCs/>
          <w:smallCaps/>
        </w:rPr>
        <w:t>Concluding Notes</w:t>
      </w:r>
    </w:p>
    <w:p w:rsidR="007618DE" w:rsidRDefault="00F74B2F" w:rsidP="00BF1786">
      <w:pPr>
        <w:pStyle w:val="StyleLinespacingDouble"/>
      </w:pPr>
      <w:r>
        <w:t xml:space="preserve">This </w:t>
      </w:r>
      <w:r w:rsidR="00945FE7">
        <w:t>chapter</w:t>
      </w:r>
      <w:r>
        <w:t xml:space="preserve"> </w:t>
      </w:r>
      <w:r w:rsidR="00262464">
        <w:t xml:space="preserve">is motivated by the strategy-tactics gap in the extant </w:t>
      </w:r>
      <w:r>
        <w:t xml:space="preserve">pharmaceutical marketing </w:t>
      </w:r>
      <w:r w:rsidR="00262464">
        <w:t>literatur</w:t>
      </w:r>
      <w:r w:rsidR="00FE0909">
        <w:t xml:space="preserve">e. Much previous research </w:t>
      </w:r>
      <w:r w:rsidR="003E72FA">
        <w:t>appears preoccupied by modeling the ROI of diverse market</w:t>
      </w:r>
      <w:r w:rsidR="008574CD">
        <w:t>ing</w:t>
      </w:r>
      <w:r w:rsidR="003E72FA">
        <w:t xml:space="preserve"> mix instruments while largely neglecting to study the strategies that underlie these tactics.  </w:t>
      </w:r>
      <w:r w:rsidR="00B94322">
        <w:t xml:space="preserve">Using the aversive discourse of pharmaceutical marketing strategies in the medical literature and public press as a point of departure, the chapter aims to systematically analyze the marketing strategies used in practice by pharmaceutical industry using a unique data involving court discovery documents unsealed in a recent litigation.  Moreover, we adopt an </w:t>
      </w:r>
      <w:r>
        <w:t>institutional theor</w:t>
      </w:r>
      <w:r w:rsidR="006B4BB1">
        <w:t>y</w:t>
      </w:r>
      <w:r>
        <w:t xml:space="preserve"> </w:t>
      </w:r>
      <w:r w:rsidR="00B94322">
        <w:t xml:space="preserve">perspective to </w:t>
      </w:r>
      <w:r>
        <w:t xml:space="preserve">analyze the disparate logics that characterize the value chain of pharmaceutical markets. Lacking institutional and system perspectives, current approaches are hard pressed to anticipate, much less explain, the persistent and increasingly unfavorable assessments of pharmaceutical marketing by its value chain partners including professional medicine and consumers. </w:t>
      </w:r>
      <w:r w:rsidR="007618DE">
        <w:t xml:space="preserve">Our analysis </w:t>
      </w:r>
      <w:r w:rsidR="00DD7BB2">
        <w:t xml:space="preserve">suggests that the pharmaceutical value chain evidences dynamics consistent with </w:t>
      </w:r>
      <w:r w:rsidR="007618DE">
        <w:t xml:space="preserve">several aspects of institutional theory: (1) system conflict due to </w:t>
      </w:r>
      <w:r w:rsidR="007618DE">
        <w:lastRenderedPageBreak/>
        <w:t>coexistence of competing logics, (2) institutional failure in resolving conflict of logics that are amplified by pharmaceutical marketing practices, and (3) continued escalation of conflicts of logics that invite regulatory intervention which constrains and restricts marketing efforts.</w:t>
      </w:r>
    </w:p>
    <w:p w:rsidR="007618DE" w:rsidRDefault="00DD7BB2" w:rsidP="00963212">
      <w:pPr>
        <w:pStyle w:val="StyleLinespacingDouble"/>
      </w:pPr>
      <w:r>
        <w:t xml:space="preserve">Building on our insights, we develop an </w:t>
      </w:r>
      <w:r w:rsidR="007618DE">
        <w:t xml:space="preserve">open systems view of </w:t>
      </w:r>
      <w:r>
        <w:t xml:space="preserve">the pharmaceutical value chain and contrast it with </w:t>
      </w:r>
      <w:r w:rsidR="00963212">
        <w:t xml:space="preserve">an economic framework </w:t>
      </w:r>
      <w:r w:rsidR="007618DE">
        <w:t xml:space="preserve">that guides much current research. </w:t>
      </w:r>
      <w:r w:rsidR="00FC2C56">
        <w:t>We do not propose</w:t>
      </w:r>
      <w:r w:rsidR="007618DE">
        <w:t xml:space="preserve"> that the current approaches are flawed and need to be abandoned. Current approaches have produced useful insights to guide managerial action. Our point is that these approaches miss a systems view that provide</w:t>
      </w:r>
      <w:r w:rsidR="00963212">
        <w:t>s</w:t>
      </w:r>
      <w:r w:rsidR="007618DE">
        <w:t xml:space="preserve"> action guidelines that differ or counter those resulting from current approaches. Using current approaches </w:t>
      </w:r>
      <w:r w:rsidR="00FC2C56">
        <w:t xml:space="preserve">and system view </w:t>
      </w:r>
      <w:r w:rsidR="007618DE">
        <w:t xml:space="preserve">as two sides of the coin, and conjoining them when possible, can be effective. </w:t>
      </w:r>
    </w:p>
    <w:p w:rsidR="00F74B2F" w:rsidRDefault="00A02B61" w:rsidP="00BF1786">
      <w:pPr>
        <w:pStyle w:val="StyleLinespacingDouble"/>
      </w:pPr>
      <w:r>
        <w:t>Going forward, c</w:t>
      </w:r>
      <w:r w:rsidR="00F74B2F">
        <w:t xml:space="preserve">onceptualizing and operationalizing legitimacy dimensions </w:t>
      </w:r>
      <w:r w:rsidR="00FC2C56">
        <w:t>require</w:t>
      </w:r>
      <w:r w:rsidR="00F74B2F">
        <w:t xml:space="preserve"> a shift in focus from o</w:t>
      </w:r>
      <w:r>
        <w:t>r</w:t>
      </w:r>
      <w:r w:rsidR="00F74B2F">
        <w:t xml:space="preserve">ganization-centric calculus to a system-centric orientation. For instance, instead of focusing on value </w:t>
      </w:r>
      <w:r w:rsidR="00F74B2F" w:rsidRPr="00A75F84">
        <w:rPr>
          <w:i/>
          <w:iCs/>
        </w:rPr>
        <w:t>extracted</w:t>
      </w:r>
      <w:r w:rsidR="00F74B2F">
        <w:t xml:space="preserve"> from its value chain (e.g., ROI), pragmatic legitimacy attends to value </w:t>
      </w:r>
      <w:r w:rsidR="00F74B2F" w:rsidRPr="00A75F84">
        <w:rPr>
          <w:i/>
          <w:iCs/>
        </w:rPr>
        <w:t>added</w:t>
      </w:r>
      <w:r w:rsidR="00F74B2F">
        <w:t xml:space="preserve"> to its value chain. This does not imply that value extraction is ignored. Rather, value added is given greater significance in pragmatic legitimacy considerations. Likewise, moral and cognitive legitimacy are system-centric, requiring focus on evaluations of value chain partners and downstream customers. However, value chain partners are usually dispersed and are not easily accessible, making legitimacy assessment less tractable than ROI calculations. Institutional theorists have provided useful conceptual and operational advances for assessing organizational legitimacy which can be leveraged for developing legitimacy constructs appropriate for marketing contexts (Suchman 1995). For instance, Tyler (2006) suggests that justice theory concepts of distributive, interactional</w:t>
      </w:r>
      <w:r w:rsidR="00D77495">
        <w:t>,</w:t>
      </w:r>
      <w:r w:rsidR="00F74B2F">
        <w:t xml:space="preserve"> and procedural fairness may be bootstrapped to assess pragmatic, moral and cognitive dimensions of organizational legitimacy.</w:t>
      </w:r>
    </w:p>
    <w:p w:rsidR="00F74B2F" w:rsidRDefault="00F74B2F" w:rsidP="00A27217">
      <w:pPr>
        <w:pStyle w:val="StyleLinespacingDouble"/>
      </w:pPr>
      <w:r>
        <w:t xml:space="preserve">In closing, we note that our study holds broader relevance to other markets characterized by conflicted logics and market actors bound by fiduciary responsibility. Such markets abound in modern civil societies and tend to suffer legitimacy setbacks with alarming regularity, </w:t>
      </w:r>
      <w:r>
        <w:lastRenderedPageBreak/>
        <w:t>incurring substantial societal, organizational</w:t>
      </w:r>
      <w:r w:rsidR="00597A2C">
        <w:t>,</w:t>
      </w:r>
      <w:r>
        <w:t xml:space="preserve"> and human costs. We hope that our study highlights the dilemma of such markets and provides the guiding impetus for future research that provides insights for managerial action with foresight to navigate legitimacy dilemmas.</w:t>
      </w:r>
    </w:p>
    <w:p w:rsidR="00761292" w:rsidRDefault="00F74B2F" w:rsidP="004F02C5">
      <w:pPr>
        <w:pStyle w:val="StyleLinespacingDouble"/>
        <w:jc w:val="center"/>
        <w:sectPr w:rsidR="00761292" w:rsidSect="007B4D3B">
          <w:footerReference w:type="default" r:id="rId15"/>
          <w:footerReference w:type="first" r:id="rId16"/>
          <w:pgSz w:w="11909" w:h="16834" w:code="9"/>
          <w:pgMar w:top="1296" w:right="1296" w:bottom="1296" w:left="1296" w:header="720" w:footer="720" w:gutter="0"/>
          <w:pgNumType w:start="1"/>
          <w:cols w:space="720"/>
          <w:docGrid w:linePitch="360"/>
        </w:sectPr>
      </w:pPr>
      <w:r>
        <w:br w:type="page"/>
      </w:r>
    </w:p>
    <w:p w:rsidR="00B80E4F" w:rsidRPr="00D56AF6" w:rsidRDefault="00B80E4F" w:rsidP="0022291A">
      <w:pPr>
        <w:pStyle w:val="StyleLinespacingDouble"/>
        <w:spacing w:line="240" w:lineRule="auto"/>
        <w:ind w:left="720" w:hanging="720"/>
        <w:jc w:val="center"/>
        <w:outlineLvl w:val="0"/>
      </w:pPr>
      <w:r w:rsidRPr="00A759ED">
        <w:rPr>
          <w:b/>
          <w:bCs/>
          <w:sz w:val="23"/>
          <w:szCs w:val="23"/>
        </w:rPr>
        <w:lastRenderedPageBreak/>
        <w:t>References</w:t>
      </w:r>
    </w:p>
    <w:p w:rsidR="00B80E4F" w:rsidRPr="008B216D" w:rsidRDefault="00B80E4F" w:rsidP="00B80E4F">
      <w:pPr>
        <w:spacing w:before="240"/>
        <w:ind w:left="720" w:hanging="720"/>
      </w:pPr>
      <w:r w:rsidRPr="008B216D">
        <w:t>AAMC (2008</w:t>
      </w:r>
      <w:r>
        <w:t>), “</w:t>
      </w:r>
      <w:r w:rsidRPr="008B216D">
        <w:rPr>
          <w:i/>
          <w:iCs/>
        </w:rPr>
        <w:t xml:space="preserve">Report of the AAMC Task Force </w:t>
      </w:r>
      <w:r>
        <w:rPr>
          <w:i/>
          <w:iCs/>
        </w:rPr>
        <w:t>o</w:t>
      </w:r>
      <w:r w:rsidRPr="008B216D">
        <w:rPr>
          <w:i/>
          <w:iCs/>
        </w:rPr>
        <w:t xml:space="preserve">n Industry Funding </w:t>
      </w:r>
      <w:r>
        <w:rPr>
          <w:i/>
          <w:iCs/>
        </w:rPr>
        <w:t>o</w:t>
      </w:r>
      <w:r w:rsidRPr="008B216D">
        <w:rPr>
          <w:i/>
          <w:iCs/>
        </w:rPr>
        <w:t xml:space="preserve">f Medical Education </w:t>
      </w:r>
      <w:r>
        <w:rPr>
          <w:i/>
          <w:iCs/>
        </w:rPr>
        <w:t>t</w:t>
      </w:r>
      <w:r w:rsidRPr="008B216D">
        <w:rPr>
          <w:i/>
          <w:iCs/>
        </w:rPr>
        <w:t xml:space="preserve">o </w:t>
      </w:r>
      <w:r>
        <w:rPr>
          <w:i/>
          <w:iCs/>
        </w:rPr>
        <w:t>t</w:t>
      </w:r>
      <w:r w:rsidRPr="008B216D">
        <w:rPr>
          <w:i/>
          <w:iCs/>
        </w:rPr>
        <w:t>he AAMC Executive Council</w:t>
      </w:r>
      <w:r>
        <w:rPr>
          <w:i/>
          <w:iCs/>
        </w:rPr>
        <w:t>,”</w:t>
      </w:r>
      <w:r>
        <w:t xml:space="preserve"> Washington, D.C. Association of American Medical Colleges. </w:t>
      </w:r>
    </w:p>
    <w:p w:rsidR="00B80E4F" w:rsidRDefault="00B80E4F" w:rsidP="00B80E4F">
      <w:pPr>
        <w:spacing w:before="240"/>
        <w:ind w:left="720" w:hanging="720"/>
      </w:pPr>
      <w:r>
        <w:t>Abelson, Reed (2006), “N</w:t>
      </w:r>
      <w:r w:rsidRPr="00A759ED">
        <w:t xml:space="preserve">ew </w:t>
      </w:r>
      <w:r>
        <w:t>Nerve T</w:t>
      </w:r>
      <w:r w:rsidRPr="00A759ED">
        <w:t xml:space="preserve">est, </w:t>
      </w:r>
      <w:r>
        <w:t>a Moneymaker, Divides Doctors,” (Accessed October 1, 2007), Available at [n</w:t>
      </w:r>
      <w:r w:rsidRPr="005E1F85">
        <w:t>ytimes.com/2006/10/20/business/20device.html?ex=1318996800</w:t>
      </w:r>
      <w:r>
        <w:t>and</w:t>
      </w:r>
      <w:r w:rsidRPr="005E1F85">
        <w:t>en=9abab5e97d39012d</w:t>
      </w:r>
      <w:r>
        <w:t>and</w:t>
      </w:r>
      <w:r w:rsidRPr="005E1F85">
        <w:t>ei=5088</w:t>
      </w:r>
      <w:r>
        <w:t>and</w:t>
      </w:r>
      <w:r w:rsidRPr="005E1F85">
        <w:t>partner=rssnyt</w:t>
      </w:r>
      <w:r>
        <w:t>and</w:t>
      </w:r>
      <w:r w:rsidRPr="005E1F85">
        <w:t>emc=rss</w:t>
      </w:r>
      <w:r>
        <w:t>]</w:t>
      </w:r>
      <w:r w:rsidRPr="00A759ED">
        <w:t>.</w:t>
      </w:r>
    </w:p>
    <w:p w:rsidR="00B80E4F" w:rsidRDefault="00B80E4F" w:rsidP="00B80E4F">
      <w:pPr>
        <w:spacing w:before="240"/>
        <w:ind w:left="720" w:hanging="720"/>
      </w:pPr>
      <w:r>
        <w:t xml:space="preserve">Ahearne, Michael, Thomas Gruen, and Cheryl B. Jarvis (1999), “If Looks Could Sell: Moderation And Mediation of the Attractiveness Effect of Salesperson Performance,” </w:t>
      </w:r>
      <w:r w:rsidRPr="004F66E5">
        <w:rPr>
          <w:i/>
          <w:iCs/>
        </w:rPr>
        <w:t>International Journal of Research in Marketing</w:t>
      </w:r>
      <w:r>
        <w:t xml:space="preserve">, </w:t>
      </w:r>
      <w:r w:rsidRPr="0051002C">
        <w:rPr>
          <w:iCs/>
        </w:rPr>
        <w:t>16</w:t>
      </w:r>
      <w:r>
        <w:t xml:space="preserve"> (4), 269-284.</w:t>
      </w:r>
    </w:p>
    <w:p w:rsidR="00B80E4F" w:rsidRDefault="00B80E4F" w:rsidP="00B80E4F">
      <w:pPr>
        <w:autoSpaceDE w:val="0"/>
        <w:autoSpaceDN w:val="0"/>
        <w:adjustRightInd w:val="0"/>
        <w:spacing w:before="240"/>
        <w:ind w:left="720" w:hanging="720"/>
      </w:pPr>
      <w:r w:rsidRPr="004A1D0D">
        <w:t>A</w:t>
      </w:r>
      <w:r>
        <w:t>ngell, Marcia (200</w:t>
      </w:r>
      <w:r w:rsidR="00D14DB9">
        <w:t>5</w:t>
      </w:r>
      <w:r>
        <w:t xml:space="preserve">), </w:t>
      </w:r>
      <w:r>
        <w:rPr>
          <w:i/>
          <w:iCs/>
        </w:rPr>
        <w:t xml:space="preserve">The Truth about the Drug Companies: How they Deceive </w:t>
      </w:r>
      <w:r w:rsidR="005808E0">
        <w:rPr>
          <w:i/>
          <w:iCs/>
        </w:rPr>
        <w:t>U</w:t>
      </w:r>
      <w:r>
        <w:rPr>
          <w:i/>
          <w:iCs/>
        </w:rPr>
        <w:t>s and What to Do a</w:t>
      </w:r>
      <w:r w:rsidRPr="006A7D4B">
        <w:rPr>
          <w:i/>
          <w:iCs/>
        </w:rPr>
        <w:t xml:space="preserve">bout </w:t>
      </w:r>
      <w:r>
        <w:rPr>
          <w:i/>
          <w:iCs/>
        </w:rPr>
        <w:t>i</w:t>
      </w:r>
      <w:r w:rsidRPr="006A7D4B">
        <w:rPr>
          <w:i/>
          <w:iCs/>
        </w:rPr>
        <w:t>t</w:t>
      </w:r>
      <w:r>
        <w:rPr>
          <w:i/>
          <w:iCs/>
        </w:rPr>
        <w:t>.</w:t>
      </w:r>
      <w:r>
        <w:t xml:space="preserve"> New York: Random House.</w:t>
      </w:r>
      <w:r w:rsidDel="001F198A">
        <w:t xml:space="preserve"> </w:t>
      </w:r>
    </w:p>
    <w:p w:rsidR="00F94433" w:rsidRDefault="005808E0" w:rsidP="00FE0909">
      <w:pPr>
        <w:spacing w:before="240"/>
        <w:ind w:left="720" w:hanging="720"/>
      </w:pPr>
      <w:r>
        <w:t xml:space="preserve">__________ (2008), “Industry Sponsored Clinical Research: A Broken System,” </w:t>
      </w:r>
      <w:r w:rsidRPr="00A759ED">
        <w:rPr>
          <w:i/>
          <w:iCs/>
        </w:rPr>
        <w:t>Journal of the American Medical Association</w:t>
      </w:r>
      <w:r w:rsidRPr="00A759ED">
        <w:t xml:space="preserve">, </w:t>
      </w:r>
      <w:r>
        <w:t>300</w:t>
      </w:r>
      <w:r>
        <w:rPr>
          <w:i/>
          <w:iCs/>
        </w:rPr>
        <w:t xml:space="preserve"> </w:t>
      </w:r>
      <w:r>
        <w:t>(9</w:t>
      </w:r>
      <w:r w:rsidRPr="00A759ED">
        <w:t xml:space="preserve">), </w:t>
      </w:r>
      <w:r>
        <w:t xml:space="preserve">1069-1071. </w:t>
      </w:r>
    </w:p>
    <w:p w:rsidR="00805B06" w:rsidRDefault="00B80E4F" w:rsidP="00805B06">
      <w:pPr>
        <w:spacing w:before="240"/>
        <w:ind w:left="720" w:hanging="720"/>
      </w:pPr>
      <w:r w:rsidRPr="00A844AC">
        <w:t>Angelmar</w:t>
      </w:r>
      <w:r>
        <w:t>, Reinhardt</w:t>
      </w:r>
      <w:r w:rsidRPr="00A844AC">
        <w:t xml:space="preserve"> (2005</w:t>
      </w:r>
      <w:r>
        <w:t xml:space="preserve">), “Big Pharma: In Need Of Treatment?”  </w:t>
      </w:r>
      <w:r w:rsidRPr="0051002C">
        <w:rPr>
          <w:iCs/>
        </w:rPr>
        <w:t>I</w:t>
      </w:r>
      <w:r w:rsidR="00CB059E">
        <w:rPr>
          <w:iCs/>
        </w:rPr>
        <w:t>NSEAD</w:t>
      </w:r>
      <w:r w:rsidRPr="0051002C">
        <w:rPr>
          <w:iCs/>
        </w:rPr>
        <w:t xml:space="preserve"> Working Paper</w:t>
      </w:r>
      <w:r>
        <w:t>, 1-4.</w:t>
      </w:r>
    </w:p>
    <w:p w:rsidR="00805B06" w:rsidRDefault="00805B06" w:rsidP="00805B06"/>
    <w:p w:rsidR="00B80E4F" w:rsidRDefault="00B80E4F" w:rsidP="00CB059E">
      <w:pPr>
        <w:ind w:left="720" w:hanging="720"/>
      </w:pPr>
      <w:r>
        <w:t>Antonuccio, David</w:t>
      </w:r>
      <w:r w:rsidR="00805B06">
        <w:t>,</w:t>
      </w:r>
      <w:r>
        <w:t xml:space="preserve">  William G. Danton</w:t>
      </w:r>
      <w:r w:rsidR="00805B06">
        <w:t xml:space="preserve">, and Terry Michael McClanahan </w:t>
      </w:r>
      <w:r>
        <w:t>(2003), “Psychology in</w:t>
      </w:r>
      <w:r w:rsidR="00CB059E">
        <w:t xml:space="preserve"> </w:t>
      </w:r>
      <w:r>
        <w:t xml:space="preserve">the Prescription Era: Building a Firewall between Marketing and Science,” </w:t>
      </w:r>
      <w:r w:rsidRPr="002A2B3B">
        <w:rPr>
          <w:i/>
          <w:iCs/>
        </w:rPr>
        <w:t>American Psychologist</w:t>
      </w:r>
      <w:r>
        <w:t xml:space="preserve">, </w:t>
      </w:r>
      <w:r w:rsidRPr="002A2B3B">
        <w:rPr>
          <w:i/>
          <w:iCs/>
        </w:rPr>
        <w:t>58</w:t>
      </w:r>
      <w:r>
        <w:rPr>
          <w:i/>
          <w:iCs/>
        </w:rPr>
        <w:t xml:space="preserve"> </w:t>
      </w:r>
      <w:r>
        <w:t>(12), 1028-1043.</w:t>
      </w:r>
    </w:p>
    <w:p w:rsidR="00B80E4F" w:rsidRDefault="00B80E4F" w:rsidP="00B80E4F">
      <w:pPr>
        <w:autoSpaceDE w:val="0"/>
        <w:autoSpaceDN w:val="0"/>
        <w:adjustRightInd w:val="0"/>
        <w:spacing w:before="240"/>
        <w:ind w:left="720" w:hanging="720"/>
      </w:pPr>
      <w:r w:rsidRPr="00F253F6">
        <w:t>Arrow, K</w:t>
      </w:r>
      <w:r>
        <w:t>enneth,</w:t>
      </w:r>
      <w:r w:rsidRPr="00F253F6">
        <w:t xml:space="preserve"> J. (1985)</w:t>
      </w:r>
      <w:r>
        <w:t>,</w:t>
      </w:r>
      <w:r w:rsidRPr="00F253F6">
        <w:t xml:space="preserve"> </w:t>
      </w:r>
      <w:r>
        <w:t>“</w:t>
      </w:r>
      <w:r w:rsidRPr="00F253F6">
        <w:t>The Economics Of Agency</w:t>
      </w:r>
      <w:r>
        <w:t>,”</w:t>
      </w:r>
      <w:r w:rsidRPr="00F253F6">
        <w:t xml:space="preserve"> In J.W. Pratt and R. H. Zeckhauser</w:t>
      </w:r>
      <w:r>
        <w:t>,</w:t>
      </w:r>
      <w:r w:rsidRPr="00F253F6">
        <w:t xml:space="preserve"> </w:t>
      </w:r>
      <w:r>
        <w:t>e</w:t>
      </w:r>
      <w:r w:rsidRPr="00F253F6">
        <w:t>d</w:t>
      </w:r>
      <w:r>
        <w:t>s</w:t>
      </w:r>
      <w:r w:rsidRPr="00F253F6">
        <w:t xml:space="preserve">, </w:t>
      </w:r>
      <w:r w:rsidRPr="00F253F6">
        <w:rPr>
          <w:i/>
          <w:iCs/>
        </w:rPr>
        <w:t>Principals and Agents: The Structure of Business</w:t>
      </w:r>
      <w:r>
        <w:rPr>
          <w:i/>
          <w:iCs/>
        </w:rPr>
        <w:t xml:space="preserve">, </w:t>
      </w:r>
      <w:r w:rsidRPr="00F253F6">
        <w:t xml:space="preserve">37-51. </w:t>
      </w:r>
      <w:smartTag w:uri="urn:schemas-microsoft-com:office:smarttags" w:element="City">
        <w:smartTag w:uri="urn:schemas-microsoft-com:office:smarttags" w:element="place">
          <w:r w:rsidRPr="00F253F6">
            <w:t>Boston</w:t>
          </w:r>
        </w:smartTag>
      </w:smartTag>
      <w:r w:rsidRPr="00F253F6">
        <w:t xml:space="preserve">: </w:t>
      </w:r>
      <w:smartTag w:uri="urn:schemas-microsoft-com:office:smarttags" w:element="place">
        <w:smartTag w:uri="urn:schemas-microsoft-com:office:smarttags" w:element="PlaceName">
          <w:r w:rsidRPr="00F253F6">
            <w:t>Harvard</w:t>
          </w:r>
        </w:smartTag>
        <w:r w:rsidRPr="00F253F6">
          <w:t xml:space="preserve"> </w:t>
        </w:r>
        <w:smartTag w:uri="urn:schemas-microsoft-com:office:smarttags" w:element="PlaceName">
          <w:r w:rsidRPr="00F253F6">
            <w:t>Business</w:t>
          </w:r>
        </w:smartTag>
        <w:r w:rsidRPr="00F253F6">
          <w:t xml:space="preserve"> </w:t>
        </w:r>
        <w:smartTag w:uri="urn:schemas-microsoft-com:office:smarttags" w:element="PlaceType">
          <w:r w:rsidRPr="00F253F6">
            <w:t>School</w:t>
          </w:r>
        </w:smartTag>
      </w:smartTag>
      <w:r w:rsidRPr="00F253F6">
        <w:t xml:space="preserve"> Press.</w:t>
      </w:r>
    </w:p>
    <w:p w:rsidR="00B80E4F" w:rsidRDefault="00B80E4F" w:rsidP="00B80E4F">
      <w:pPr>
        <w:autoSpaceDE w:val="0"/>
        <w:autoSpaceDN w:val="0"/>
        <w:adjustRightInd w:val="0"/>
        <w:spacing w:before="240"/>
        <w:ind w:left="720" w:hanging="720"/>
      </w:pPr>
      <w:r w:rsidRPr="00A844AC">
        <w:t>Arthur</w:t>
      </w:r>
      <w:r>
        <w:t>, Michelle M.</w:t>
      </w:r>
      <w:r w:rsidRPr="00A844AC">
        <w:t xml:space="preserve"> (2003)</w:t>
      </w:r>
      <w:r>
        <w:t xml:space="preserve">, “Share Price Reactions to Work-Family Initiatives: An Institutional Perspective,” </w:t>
      </w:r>
      <w:r w:rsidRPr="00A844AC">
        <w:rPr>
          <w:i/>
          <w:iCs/>
        </w:rPr>
        <w:t>Academy of Management Journal, 46</w:t>
      </w:r>
      <w:r>
        <w:rPr>
          <w:i/>
          <w:iCs/>
        </w:rPr>
        <w:t xml:space="preserve"> </w:t>
      </w:r>
      <w:r>
        <w:t>(4), 497-505.</w:t>
      </w:r>
    </w:p>
    <w:p w:rsidR="00B80E4F" w:rsidRDefault="00B80E4F" w:rsidP="00B80E4F">
      <w:pPr>
        <w:autoSpaceDE w:val="0"/>
        <w:autoSpaceDN w:val="0"/>
        <w:adjustRightInd w:val="0"/>
        <w:spacing w:before="240"/>
        <w:ind w:left="720" w:hanging="720"/>
      </w:pPr>
      <w:r>
        <w:t xml:space="preserve">Bansal, Pratima and Iain Clelland (2004), “Talking Trash: Legitimacy, Impression Management, and Unsystematic Risk in the Context of the Natural Environment,” </w:t>
      </w:r>
      <w:r w:rsidRPr="00AF735C">
        <w:rPr>
          <w:i/>
          <w:iCs/>
        </w:rPr>
        <w:t>Academy of Management Journal</w:t>
      </w:r>
      <w:r>
        <w:t xml:space="preserve">, </w:t>
      </w:r>
      <w:r w:rsidRPr="00AF735C">
        <w:rPr>
          <w:i/>
          <w:iCs/>
        </w:rPr>
        <w:t>47</w:t>
      </w:r>
      <w:r>
        <w:t>(1), 93-103.</w:t>
      </w:r>
    </w:p>
    <w:p w:rsidR="00B80E4F" w:rsidRDefault="00B80E4F" w:rsidP="00B80E4F">
      <w:pPr>
        <w:autoSpaceDE w:val="0"/>
        <w:autoSpaceDN w:val="0"/>
        <w:adjustRightInd w:val="0"/>
        <w:spacing w:before="240"/>
        <w:ind w:left="720" w:hanging="720"/>
        <w:rPr>
          <w:kern w:val="0"/>
        </w:rPr>
      </w:pPr>
      <w:r>
        <w:rPr>
          <w:kern w:val="0"/>
        </w:rPr>
        <w:t>Barney, Jay</w:t>
      </w:r>
      <w:r w:rsidRPr="00B3136E">
        <w:rPr>
          <w:kern w:val="0"/>
        </w:rPr>
        <w:t xml:space="preserve"> B. </w:t>
      </w:r>
      <w:r>
        <w:rPr>
          <w:kern w:val="0"/>
        </w:rPr>
        <w:t>and</w:t>
      </w:r>
      <w:r w:rsidRPr="00B3136E">
        <w:rPr>
          <w:kern w:val="0"/>
        </w:rPr>
        <w:t xml:space="preserve"> </w:t>
      </w:r>
      <w:r>
        <w:rPr>
          <w:kern w:val="0"/>
        </w:rPr>
        <w:t>Mark H. Hansen</w:t>
      </w:r>
      <w:r w:rsidRPr="00B3136E">
        <w:rPr>
          <w:kern w:val="0"/>
        </w:rPr>
        <w:t xml:space="preserve"> </w:t>
      </w:r>
      <w:r>
        <w:rPr>
          <w:kern w:val="0"/>
        </w:rPr>
        <w:t>(1994), “</w:t>
      </w:r>
      <w:r w:rsidRPr="00B3136E">
        <w:rPr>
          <w:kern w:val="0"/>
        </w:rPr>
        <w:t xml:space="preserve">Trustworthiness </w:t>
      </w:r>
      <w:r>
        <w:rPr>
          <w:kern w:val="0"/>
        </w:rPr>
        <w:t>a</w:t>
      </w:r>
      <w:r w:rsidRPr="00B3136E">
        <w:rPr>
          <w:kern w:val="0"/>
        </w:rPr>
        <w:t xml:space="preserve">s </w:t>
      </w:r>
      <w:r>
        <w:rPr>
          <w:kern w:val="0"/>
        </w:rPr>
        <w:t>a</w:t>
      </w:r>
      <w:r w:rsidRPr="00B3136E">
        <w:rPr>
          <w:kern w:val="0"/>
        </w:rPr>
        <w:t xml:space="preserve"> </w:t>
      </w:r>
      <w:r>
        <w:rPr>
          <w:kern w:val="0"/>
        </w:rPr>
        <w:t>Source of C</w:t>
      </w:r>
      <w:r w:rsidRPr="00B3136E">
        <w:rPr>
          <w:kern w:val="0"/>
        </w:rPr>
        <w:t>ompetiti</w:t>
      </w:r>
      <w:r>
        <w:rPr>
          <w:kern w:val="0"/>
        </w:rPr>
        <w:t>ve A</w:t>
      </w:r>
      <w:r w:rsidRPr="00B3136E">
        <w:rPr>
          <w:kern w:val="0"/>
        </w:rPr>
        <w:t>dvantage</w:t>
      </w:r>
      <w:r>
        <w:rPr>
          <w:kern w:val="0"/>
        </w:rPr>
        <w:t>,”</w:t>
      </w:r>
      <w:r w:rsidRPr="00B3136E">
        <w:rPr>
          <w:kern w:val="0"/>
        </w:rPr>
        <w:t xml:space="preserve"> </w:t>
      </w:r>
      <w:r w:rsidRPr="00B3136E">
        <w:rPr>
          <w:i/>
          <w:iCs/>
          <w:kern w:val="0"/>
        </w:rPr>
        <w:t>Strategic Management</w:t>
      </w:r>
      <w:r>
        <w:rPr>
          <w:i/>
          <w:iCs/>
          <w:kern w:val="0"/>
        </w:rPr>
        <w:t xml:space="preserve"> </w:t>
      </w:r>
      <w:r w:rsidRPr="00B3136E">
        <w:rPr>
          <w:i/>
          <w:iCs/>
          <w:kern w:val="0"/>
        </w:rPr>
        <w:t>Journal</w:t>
      </w:r>
      <w:r w:rsidRPr="00B3136E">
        <w:rPr>
          <w:kern w:val="0"/>
        </w:rPr>
        <w:t xml:space="preserve">, </w:t>
      </w:r>
      <w:r w:rsidRPr="00D170B8">
        <w:rPr>
          <w:i/>
          <w:iCs/>
          <w:kern w:val="0"/>
        </w:rPr>
        <w:t>15</w:t>
      </w:r>
      <w:r>
        <w:rPr>
          <w:i/>
          <w:iCs/>
          <w:kern w:val="0"/>
        </w:rPr>
        <w:t xml:space="preserve"> </w:t>
      </w:r>
      <w:r w:rsidRPr="00B3136E">
        <w:rPr>
          <w:kern w:val="0"/>
        </w:rPr>
        <w:t>(Special Issue), 175</w:t>
      </w:r>
      <w:r>
        <w:rPr>
          <w:kern w:val="0"/>
        </w:rPr>
        <w:t>-1</w:t>
      </w:r>
      <w:r w:rsidRPr="00B3136E">
        <w:rPr>
          <w:kern w:val="0"/>
        </w:rPr>
        <w:t xml:space="preserve">90. </w:t>
      </w:r>
    </w:p>
    <w:p w:rsidR="00B80E4F" w:rsidRPr="0051716F" w:rsidRDefault="00B80E4F" w:rsidP="00B80E4F">
      <w:pPr>
        <w:autoSpaceDE w:val="0"/>
        <w:autoSpaceDN w:val="0"/>
        <w:adjustRightInd w:val="0"/>
        <w:spacing w:before="240"/>
        <w:ind w:left="720" w:hanging="720"/>
      </w:pPr>
      <w:r w:rsidRPr="0051716F">
        <w:t>Berenson, A</w:t>
      </w:r>
      <w:r>
        <w:t xml:space="preserve">lex </w:t>
      </w:r>
      <w:r w:rsidRPr="0051716F">
        <w:t>(2006</w:t>
      </w:r>
      <w:r>
        <w:t>),</w:t>
      </w:r>
      <w:r w:rsidRPr="0051716F">
        <w:t xml:space="preserve"> </w:t>
      </w:r>
      <w:r>
        <w:t>“</w:t>
      </w:r>
      <w:r w:rsidRPr="0051716F">
        <w:t xml:space="preserve">In the </w:t>
      </w:r>
      <w:r>
        <w:t>M</w:t>
      </w:r>
      <w:r w:rsidRPr="0051716F">
        <w:t xml:space="preserve">oney, and in </w:t>
      </w:r>
      <w:r>
        <w:t>C</w:t>
      </w:r>
      <w:r w:rsidRPr="0051716F">
        <w:t>ourt</w:t>
      </w:r>
      <w:r>
        <w:t>,”</w:t>
      </w:r>
      <w:r w:rsidRPr="0051716F">
        <w:t xml:space="preserve"> </w:t>
      </w:r>
      <w:r w:rsidRPr="0051716F">
        <w:rPr>
          <w:i/>
          <w:iCs/>
        </w:rPr>
        <w:t>New York Times,</w:t>
      </w:r>
      <w:r w:rsidRPr="0051716F">
        <w:t xml:space="preserve"> </w:t>
      </w:r>
      <w:r>
        <w:t xml:space="preserve">April 22, </w:t>
      </w:r>
      <w:r w:rsidRPr="0051716F">
        <w:t>C1</w:t>
      </w:r>
      <w:r w:rsidRPr="0051716F">
        <w:rPr>
          <w:i/>
          <w:iCs/>
        </w:rPr>
        <w:t>.</w:t>
      </w:r>
    </w:p>
    <w:p w:rsidR="00B80E4F" w:rsidRDefault="00B80E4F" w:rsidP="00B80E4F">
      <w:pPr>
        <w:autoSpaceDE w:val="0"/>
        <w:autoSpaceDN w:val="0"/>
        <w:adjustRightInd w:val="0"/>
        <w:spacing w:before="240"/>
        <w:ind w:left="720" w:hanging="720"/>
      </w:pPr>
      <w:r w:rsidRPr="00DE5345">
        <w:t>Bergstrom, C</w:t>
      </w:r>
      <w:r>
        <w:t>arl,</w:t>
      </w:r>
      <w:r w:rsidRPr="00DE5345">
        <w:t xml:space="preserve"> T. </w:t>
      </w:r>
      <w:r>
        <w:t>and</w:t>
      </w:r>
      <w:r w:rsidRPr="00DE5345">
        <w:t xml:space="preserve"> </w:t>
      </w:r>
      <w:r>
        <w:t xml:space="preserve">Michael </w:t>
      </w:r>
      <w:r w:rsidRPr="00DE5345">
        <w:t>Lachmann (2003)</w:t>
      </w:r>
      <w:r>
        <w:t>,</w:t>
      </w:r>
      <w:r w:rsidRPr="00DE5345">
        <w:t xml:space="preserve"> </w:t>
      </w:r>
      <w:r>
        <w:t xml:space="preserve">“The Red King Effect: When the Slowest Runner Wins the Coevolutionary Race,” </w:t>
      </w:r>
      <w:r w:rsidRPr="00522FC5">
        <w:rPr>
          <w:i/>
          <w:iCs/>
        </w:rPr>
        <w:t>Proceedings of the National Academy of Sciences</w:t>
      </w:r>
      <w:r>
        <w:t xml:space="preserve">, </w:t>
      </w:r>
      <w:r w:rsidRPr="003B7060">
        <w:rPr>
          <w:i/>
          <w:iCs/>
        </w:rPr>
        <w:t>100</w:t>
      </w:r>
      <w:r>
        <w:rPr>
          <w:i/>
          <w:iCs/>
        </w:rPr>
        <w:t xml:space="preserve"> </w:t>
      </w:r>
      <w:r>
        <w:t>(2), 593-598.</w:t>
      </w:r>
    </w:p>
    <w:p w:rsidR="00B80E4F" w:rsidRDefault="00B80E4F" w:rsidP="00B80E4F">
      <w:pPr>
        <w:autoSpaceDE w:val="0"/>
        <w:autoSpaceDN w:val="0"/>
        <w:adjustRightInd w:val="0"/>
        <w:spacing w:before="240"/>
        <w:ind w:left="720" w:hanging="720"/>
      </w:pPr>
      <w:r w:rsidRPr="004A1D0D">
        <w:t>B</w:t>
      </w:r>
      <w:r w:rsidRPr="00475999">
        <w:t>o</w:t>
      </w:r>
      <w:r>
        <w:t>atright, John R. (1992), “</w:t>
      </w:r>
      <w:r w:rsidRPr="00A759ED">
        <w:t xml:space="preserve">Conflicts </w:t>
      </w:r>
      <w:r>
        <w:t>o</w:t>
      </w:r>
      <w:r w:rsidRPr="00A759ED">
        <w:t>f</w:t>
      </w:r>
      <w:r>
        <w:t xml:space="preserve"> Interest: An Agency Analysis,” I</w:t>
      </w:r>
      <w:r w:rsidRPr="00A759ED">
        <w:t xml:space="preserve">n </w:t>
      </w:r>
      <w:r>
        <w:t>N. E. Bowie and</w:t>
      </w:r>
      <w:r w:rsidRPr="00A759ED">
        <w:t xml:space="preserve"> R. E</w:t>
      </w:r>
      <w:r>
        <w:t xml:space="preserve">. </w:t>
      </w:r>
      <w:r w:rsidRPr="00A759ED">
        <w:t>Freeman</w:t>
      </w:r>
      <w:r>
        <w:t xml:space="preserve"> eds.</w:t>
      </w:r>
      <w:r w:rsidRPr="00A759ED">
        <w:rPr>
          <w:i/>
          <w:iCs/>
        </w:rPr>
        <w:t xml:space="preserve"> Ethics and </w:t>
      </w:r>
      <w:r>
        <w:rPr>
          <w:i/>
          <w:iCs/>
        </w:rPr>
        <w:t>Agency T</w:t>
      </w:r>
      <w:r w:rsidRPr="00A759ED">
        <w:rPr>
          <w:i/>
          <w:iCs/>
        </w:rPr>
        <w:t>heory</w:t>
      </w:r>
      <w:r>
        <w:rPr>
          <w:i/>
          <w:iCs/>
        </w:rPr>
        <w:t>,</w:t>
      </w:r>
      <w:r w:rsidRPr="00A759ED">
        <w:t xml:space="preserve"> </w:t>
      </w:r>
      <w:r>
        <w:t xml:space="preserve">187-203. </w:t>
      </w:r>
      <w:r w:rsidRPr="00A759ED">
        <w:t xml:space="preserve">New York: Oxford University </w:t>
      </w:r>
      <w:r>
        <w:t>P</w:t>
      </w:r>
      <w:r w:rsidRPr="00A759ED">
        <w:t>ress</w:t>
      </w:r>
      <w:r>
        <w:t>.</w:t>
      </w:r>
    </w:p>
    <w:p w:rsidR="00B80E4F" w:rsidRDefault="00B80E4F" w:rsidP="00B80E4F">
      <w:pPr>
        <w:autoSpaceDE w:val="0"/>
        <w:autoSpaceDN w:val="0"/>
        <w:adjustRightInd w:val="0"/>
        <w:spacing w:before="240"/>
        <w:ind w:left="720" w:hanging="720"/>
      </w:pPr>
      <w:r w:rsidRPr="00A844AC">
        <w:lastRenderedPageBreak/>
        <w:t>Bowman</w:t>
      </w:r>
      <w:r>
        <w:t>, Marjorie A. and David L. Pearle</w:t>
      </w:r>
      <w:r w:rsidRPr="00A844AC">
        <w:t xml:space="preserve"> </w:t>
      </w:r>
      <w:r>
        <w:t xml:space="preserve">(1988), “Changes In Drug Prescribing Patterns Related to Commercial Company Funding of Continuing Medical Education,” </w:t>
      </w:r>
      <w:r w:rsidRPr="00A844AC">
        <w:rPr>
          <w:i/>
          <w:iCs/>
        </w:rPr>
        <w:t>Journal of Continuing Education in the Health Professions</w:t>
      </w:r>
      <w:r>
        <w:t xml:space="preserve">, </w:t>
      </w:r>
      <w:r w:rsidRPr="0051002C">
        <w:rPr>
          <w:iCs/>
        </w:rPr>
        <w:t>8</w:t>
      </w:r>
      <w:r>
        <w:rPr>
          <w:iCs/>
        </w:rPr>
        <w:t xml:space="preserve"> (1)</w:t>
      </w:r>
      <w:r>
        <w:t xml:space="preserve">, 13-20. </w:t>
      </w:r>
    </w:p>
    <w:p w:rsidR="00D91E95" w:rsidRDefault="00B80E4F" w:rsidP="00D91E95">
      <w:pPr>
        <w:autoSpaceDE w:val="0"/>
        <w:autoSpaceDN w:val="0"/>
        <w:adjustRightInd w:val="0"/>
        <w:spacing w:before="240"/>
        <w:ind w:left="720" w:hanging="720"/>
        <w:rPr>
          <w:color w:val="292526"/>
          <w:kern w:val="0"/>
        </w:rPr>
      </w:pPr>
      <w:r w:rsidRPr="00171737">
        <w:t>Brennan, T</w:t>
      </w:r>
      <w:r>
        <w:t>roy</w:t>
      </w:r>
      <w:r w:rsidR="00D91E95">
        <w:t>e</w:t>
      </w:r>
      <w:r>
        <w:t xml:space="preserve">n </w:t>
      </w:r>
      <w:r w:rsidRPr="00171737">
        <w:t>A.</w:t>
      </w:r>
      <w:r w:rsidR="00D91E95">
        <w:t xml:space="preserve">, David J. Rothman, Linda Blank, David Blumenthal, Susan C. Chimonas, Jordan j. Cohen, Janlori Goldman, Jerome P. Kassirer, Harry Kimball, James Naughton, and Neil Smelser (2006), “Health Industry practices that Create Conflicts of Interest,” </w:t>
      </w:r>
      <w:r w:rsidR="00D91E95" w:rsidRPr="00FC5AA4">
        <w:rPr>
          <w:i/>
          <w:iCs/>
          <w:color w:val="292526"/>
          <w:kern w:val="0"/>
        </w:rPr>
        <w:t xml:space="preserve">Journal of the </w:t>
      </w:r>
      <w:r w:rsidR="00D91E95" w:rsidRPr="00171737">
        <w:rPr>
          <w:i/>
          <w:iCs/>
          <w:color w:val="292526"/>
          <w:kern w:val="0"/>
        </w:rPr>
        <w:t>American Medical Association</w:t>
      </w:r>
      <w:r w:rsidR="00D91E95" w:rsidRPr="00171737">
        <w:rPr>
          <w:color w:val="292526"/>
          <w:kern w:val="0"/>
        </w:rPr>
        <w:t xml:space="preserve">, </w:t>
      </w:r>
      <w:r w:rsidR="00D91E95" w:rsidRPr="00D170B8">
        <w:rPr>
          <w:i/>
          <w:iCs/>
          <w:color w:val="292526"/>
          <w:kern w:val="0"/>
        </w:rPr>
        <w:t>29</w:t>
      </w:r>
      <w:r w:rsidR="00D91E95">
        <w:rPr>
          <w:i/>
          <w:iCs/>
          <w:color w:val="292526"/>
          <w:kern w:val="0"/>
        </w:rPr>
        <w:t xml:space="preserve">5 </w:t>
      </w:r>
      <w:r w:rsidR="0022137C" w:rsidRPr="00FE0909">
        <w:rPr>
          <w:i/>
          <w:color w:val="292526"/>
          <w:kern w:val="0"/>
        </w:rPr>
        <w:t>(4),</w:t>
      </w:r>
      <w:r w:rsidR="00D91E95" w:rsidRPr="00171737">
        <w:rPr>
          <w:color w:val="292526"/>
          <w:kern w:val="0"/>
        </w:rPr>
        <w:t xml:space="preserve"> </w:t>
      </w:r>
      <w:r w:rsidR="00D91E95">
        <w:rPr>
          <w:color w:val="292526"/>
          <w:kern w:val="0"/>
        </w:rPr>
        <w:t>429</w:t>
      </w:r>
      <w:r w:rsidR="00D91E95" w:rsidRPr="00171737">
        <w:rPr>
          <w:color w:val="292526"/>
          <w:kern w:val="0"/>
        </w:rPr>
        <w:t>-</w:t>
      </w:r>
      <w:r w:rsidR="00D91E95">
        <w:rPr>
          <w:color w:val="292526"/>
          <w:kern w:val="0"/>
        </w:rPr>
        <w:t>433</w:t>
      </w:r>
      <w:r w:rsidR="00D91E95" w:rsidRPr="00171737">
        <w:rPr>
          <w:color w:val="292526"/>
          <w:kern w:val="0"/>
        </w:rPr>
        <w:t>.</w:t>
      </w:r>
    </w:p>
    <w:p w:rsidR="00B80E4F" w:rsidRDefault="00B80E4F" w:rsidP="00B80E4F">
      <w:pPr>
        <w:autoSpaceDE w:val="0"/>
        <w:autoSpaceDN w:val="0"/>
        <w:adjustRightInd w:val="0"/>
        <w:spacing w:before="240"/>
        <w:ind w:left="720" w:hanging="720"/>
        <w:rPr>
          <w:color w:val="292526"/>
          <w:kern w:val="0"/>
        </w:rPr>
      </w:pPr>
      <w:r w:rsidRPr="00171737">
        <w:t xml:space="preserve"> </w:t>
      </w:r>
      <w:r w:rsidR="00D91E95">
        <w:t>_______</w:t>
      </w:r>
      <w:r>
        <w:t>and</w:t>
      </w:r>
      <w:r w:rsidRPr="00171737">
        <w:t xml:space="preserve"> </w:t>
      </w:r>
      <w:r>
        <w:t xml:space="preserve">Michelle M. </w:t>
      </w:r>
      <w:r w:rsidRPr="00171737">
        <w:t>Mello (2007)</w:t>
      </w:r>
      <w:r>
        <w:t>,</w:t>
      </w:r>
      <w:r w:rsidRPr="00171737">
        <w:t xml:space="preserve"> </w:t>
      </w:r>
      <w:r>
        <w:t>“</w:t>
      </w:r>
      <w:r w:rsidRPr="00171737">
        <w:t xml:space="preserve">Sunshine Laws </w:t>
      </w:r>
      <w:r>
        <w:t>a</w:t>
      </w:r>
      <w:r w:rsidRPr="00171737">
        <w:t xml:space="preserve">nd </w:t>
      </w:r>
      <w:r>
        <w:t>t</w:t>
      </w:r>
      <w:r w:rsidRPr="00171737">
        <w:t>he Pharmaceutical Industry</w:t>
      </w:r>
      <w:r>
        <w:t>,”</w:t>
      </w:r>
      <w:r w:rsidRPr="00FC5AA4">
        <w:rPr>
          <w:i/>
          <w:iCs/>
          <w:color w:val="292526"/>
          <w:kern w:val="0"/>
        </w:rPr>
        <w:t xml:space="preserve"> Journal of the </w:t>
      </w:r>
      <w:r w:rsidRPr="00171737">
        <w:rPr>
          <w:i/>
          <w:iCs/>
          <w:color w:val="292526"/>
          <w:kern w:val="0"/>
        </w:rPr>
        <w:t>American Medical Association</w:t>
      </w:r>
      <w:r w:rsidRPr="00171737">
        <w:rPr>
          <w:color w:val="292526"/>
          <w:kern w:val="0"/>
        </w:rPr>
        <w:t xml:space="preserve">, </w:t>
      </w:r>
      <w:r w:rsidRPr="00D170B8">
        <w:rPr>
          <w:i/>
          <w:iCs/>
          <w:color w:val="292526"/>
          <w:kern w:val="0"/>
        </w:rPr>
        <w:t>297</w:t>
      </w:r>
      <w:r>
        <w:rPr>
          <w:i/>
          <w:iCs/>
          <w:color w:val="292526"/>
          <w:kern w:val="0"/>
        </w:rPr>
        <w:t xml:space="preserve"> </w:t>
      </w:r>
      <w:r w:rsidRPr="00171737">
        <w:rPr>
          <w:color w:val="292526"/>
          <w:kern w:val="0"/>
        </w:rPr>
        <w:t>(11), 1</w:t>
      </w:r>
      <w:r>
        <w:rPr>
          <w:color w:val="292526"/>
          <w:kern w:val="0"/>
        </w:rPr>
        <w:t>255</w:t>
      </w:r>
      <w:r w:rsidRPr="00171737">
        <w:rPr>
          <w:color w:val="292526"/>
          <w:kern w:val="0"/>
        </w:rPr>
        <w:t>-</w:t>
      </w:r>
      <w:r>
        <w:rPr>
          <w:color w:val="292526"/>
          <w:kern w:val="0"/>
        </w:rPr>
        <w:t>1257</w:t>
      </w:r>
      <w:r w:rsidRPr="00171737">
        <w:rPr>
          <w:color w:val="292526"/>
          <w:kern w:val="0"/>
        </w:rPr>
        <w:t>.</w:t>
      </w:r>
    </w:p>
    <w:p w:rsidR="00F94433" w:rsidRDefault="005808E0" w:rsidP="00CB059E">
      <w:pPr>
        <w:spacing w:before="100" w:beforeAutospacing="1" w:after="100" w:afterAutospacing="1"/>
        <w:ind w:left="720" w:hanging="720"/>
        <w:rPr>
          <w:rStyle w:val="slug-pages"/>
          <w:i/>
        </w:rPr>
      </w:pPr>
      <w:r>
        <w:t xml:space="preserve">Campbell, Eric G., Joel S. Weissman, Sowmya R. Rao, Beverly Moy, Sandra Feibelmann, and Susan Dorr Goold (2007), “Institutional Academic-Industry Relationships,” </w:t>
      </w:r>
      <w:r>
        <w:rPr>
          <w:i/>
        </w:rPr>
        <w:t xml:space="preserve">Journal of the </w:t>
      </w:r>
      <w:r w:rsidR="00CB059E">
        <w:rPr>
          <w:i/>
        </w:rPr>
        <w:t>A</w:t>
      </w:r>
      <w:r>
        <w:rPr>
          <w:i/>
        </w:rPr>
        <w:t xml:space="preserve">merican Medical Association, </w:t>
      </w:r>
      <w:r w:rsidR="0022137C" w:rsidRPr="00FE0909">
        <w:rPr>
          <w:rStyle w:val="slug-vol"/>
          <w:iCs/>
        </w:rPr>
        <w:t>298(</w:t>
      </w:r>
      <w:r w:rsidR="0022137C" w:rsidRPr="00FE0909">
        <w:rPr>
          <w:rStyle w:val="slug-issue"/>
          <w:iCs/>
        </w:rPr>
        <w:t>15)</w:t>
      </w:r>
      <w:r>
        <w:rPr>
          <w:rStyle w:val="slug-issue"/>
          <w:iCs/>
        </w:rPr>
        <w:t>,</w:t>
      </w:r>
      <w:r w:rsidR="0022137C" w:rsidRPr="00FE0909">
        <w:rPr>
          <w:rStyle w:val="slug-pages"/>
          <w:iCs/>
        </w:rPr>
        <w:t>1779-1786</w:t>
      </w:r>
      <w:r>
        <w:rPr>
          <w:rStyle w:val="slug-pages"/>
          <w:iCs/>
        </w:rPr>
        <w:t>.</w:t>
      </w:r>
    </w:p>
    <w:p w:rsidR="00B80E4F" w:rsidRDefault="00B80E4F" w:rsidP="00396FC8">
      <w:pPr>
        <w:spacing w:after="240"/>
        <w:ind w:left="720" w:hanging="720"/>
      </w:pPr>
      <w:r>
        <w:t xml:space="preserve">Carlat, Daniel (2006), “Generic Smear Campaign,” (Accessed July 19, 2007), [Available at  </w:t>
      </w:r>
      <w:r w:rsidRPr="00522FC5">
        <w:t>nytimes.com/2006/05/09/opinion/09carlat.html</w:t>
      </w:r>
      <w:r w:rsidRPr="00595BC2">
        <w:t xml:space="preserve"> </w:t>
      </w:r>
      <w:r>
        <w:t>May 9].</w:t>
      </w:r>
    </w:p>
    <w:p w:rsidR="00B80E4F" w:rsidRDefault="00B80E4F" w:rsidP="00396FC8">
      <w:pPr>
        <w:spacing w:after="240"/>
        <w:ind w:left="720" w:hanging="720"/>
        <w:rPr>
          <w:kern w:val="0"/>
        </w:rPr>
      </w:pPr>
      <w:r>
        <w:rPr>
          <w:kern w:val="0"/>
        </w:rPr>
        <w:t>Caronna, Carol (2004), “</w:t>
      </w:r>
      <w:r w:rsidRPr="00CF7528">
        <w:rPr>
          <w:kern w:val="0"/>
        </w:rPr>
        <w:t>The Misalignment of Institutional "Pillars": Consequences for the U.S.</w:t>
      </w:r>
      <w:r w:rsidR="00396FC8">
        <w:rPr>
          <w:kern w:val="0"/>
        </w:rPr>
        <w:t xml:space="preserve"> </w:t>
      </w:r>
      <w:r w:rsidRPr="00CF7528">
        <w:rPr>
          <w:kern w:val="0"/>
        </w:rPr>
        <w:t>Health Care Field</w:t>
      </w:r>
      <w:r>
        <w:rPr>
          <w:kern w:val="0"/>
        </w:rPr>
        <w:t xml:space="preserve">,” </w:t>
      </w:r>
      <w:r w:rsidRPr="00CF7528">
        <w:rPr>
          <w:i/>
          <w:iCs/>
          <w:kern w:val="0"/>
        </w:rPr>
        <w:t>Journal of Health and Social Behavior</w:t>
      </w:r>
      <w:r>
        <w:rPr>
          <w:i/>
          <w:iCs/>
          <w:kern w:val="0"/>
        </w:rPr>
        <w:t>,</w:t>
      </w:r>
      <w:r w:rsidRPr="00CF7528">
        <w:rPr>
          <w:kern w:val="0"/>
        </w:rPr>
        <w:t xml:space="preserve"> 45, Extra Issue: Health and Health Care in the Unit</w:t>
      </w:r>
      <w:r>
        <w:rPr>
          <w:kern w:val="0"/>
        </w:rPr>
        <w:t>ed States: Origins and Dynamics</w:t>
      </w:r>
      <w:r w:rsidRPr="00CF7528">
        <w:rPr>
          <w:kern w:val="0"/>
        </w:rPr>
        <w:t>,</w:t>
      </w:r>
      <w:r>
        <w:rPr>
          <w:kern w:val="0"/>
        </w:rPr>
        <w:t xml:space="preserve"> </w:t>
      </w:r>
      <w:r w:rsidRPr="00CF7528">
        <w:rPr>
          <w:kern w:val="0"/>
        </w:rPr>
        <w:t>45-58</w:t>
      </w:r>
      <w:r>
        <w:rPr>
          <w:kern w:val="0"/>
        </w:rPr>
        <w:t>.</w:t>
      </w:r>
      <w:r w:rsidRPr="00CF7528">
        <w:rPr>
          <w:kern w:val="0"/>
        </w:rPr>
        <w:t xml:space="preserve"> </w:t>
      </w:r>
    </w:p>
    <w:p w:rsidR="00B80E4F" w:rsidRDefault="00B80E4F" w:rsidP="00B80E4F">
      <w:pPr>
        <w:spacing w:before="240"/>
        <w:ind w:left="720" w:hanging="720"/>
      </w:pPr>
      <w:r w:rsidRPr="00A844AC">
        <w:t>Carreyrou, J</w:t>
      </w:r>
      <w:r>
        <w:t>ohn</w:t>
      </w:r>
      <w:r w:rsidRPr="00A844AC">
        <w:t xml:space="preserve"> (2006</w:t>
      </w:r>
      <w:r>
        <w:t>), “Cephalon U</w:t>
      </w:r>
      <w:r w:rsidRPr="00A759ED">
        <w:t xml:space="preserve">sed </w:t>
      </w:r>
      <w:r>
        <w:t>Improper T</w:t>
      </w:r>
      <w:r w:rsidRPr="00A759ED">
        <w:t xml:space="preserve">actics </w:t>
      </w:r>
      <w:r>
        <w:t>to Sell Drug, Probe F</w:t>
      </w:r>
      <w:r w:rsidRPr="00A759ED">
        <w:t>inds</w:t>
      </w:r>
      <w:r>
        <w:t>,”</w:t>
      </w:r>
      <w:r w:rsidRPr="00A759ED">
        <w:t xml:space="preserve"> </w:t>
      </w:r>
      <w:r w:rsidRPr="00A759ED">
        <w:rPr>
          <w:i/>
          <w:iCs/>
        </w:rPr>
        <w:t xml:space="preserve">Wall Street Journal, </w:t>
      </w:r>
      <w:r w:rsidRPr="00A759ED">
        <w:rPr>
          <w:rStyle w:val="Strong"/>
          <w:b w:val="0"/>
          <w:bCs w:val="0"/>
        </w:rPr>
        <w:t>B1</w:t>
      </w:r>
      <w:r>
        <w:t>,</w:t>
      </w:r>
      <w:r w:rsidRPr="00E72CF6">
        <w:rPr>
          <w:rStyle w:val="Strong"/>
          <w:b w:val="0"/>
          <w:bCs w:val="0"/>
        </w:rPr>
        <w:t xml:space="preserve"> </w:t>
      </w:r>
      <w:r w:rsidRPr="00A759ED">
        <w:rPr>
          <w:rStyle w:val="Strong"/>
          <w:b w:val="0"/>
          <w:bCs w:val="0"/>
        </w:rPr>
        <w:t>November 2</w:t>
      </w:r>
      <w:r>
        <w:rPr>
          <w:rStyle w:val="Strong"/>
          <w:b w:val="0"/>
          <w:bCs w:val="0"/>
        </w:rPr>
        <w:t>1.</w:t>
      </w:r>
    </w:p>
    <w:p w:rsidR="00B80E4F" w:rsidRDefault="00B80E4F" w:rsidP="00B80E4F">
      <w:pPr>
        <w:spacing w:before="240"/>
        <w:ind w:left="720" w:hanging="720"/>
      </w:pPr>
      <w:r>
        <w:t xml:space="preserve">Carson, Thomas L. (2004), “Conflicts of Interest and Self-Dealing in the Professions: A Review Essay,” </w:t>
      </w:r>
      <w:r w:rsidRPr="00A776AA">
        <w:rPr>
          <w:i/>
          <w:iCs/>
        </w:rPr>
        <w:t>Business Ethics Quarterly</w:t>
      </w:r>
      <w:r w:rsidRPr="00A776AA">
        <w:t xml:space="preserve">, </w:t>
      </w:r>
      <w:r w:rsidRPr="00BE1164">
        <w:rPr>
          <w:iCs/>
        </w:rPr>
        <w:t>14</w:t>
      </w:r>
      <w:r>
        <w:rPr>
          <w:i/>
          <w:iCs/>
        </w:rPr>
        <w:t xml:space="preserve"> </w:t>
      </w:r>
      <w:r w:rsidRPr="00A776AA">
        <w:t>(January), 161-182.</w:t>
      </w:r>
    </w:p>
    <w:p w:rsidR="00B80E4F" w:rsidRDefault="00B80E4F" w:rsidP="00B80E4F">
      <w:pPr>
        <w:spacing w:before="240"/>
        <w:ind w:left="720" w:hanging="720"/>
      </w:pPr>
      <w:r w:rsidRPr="00DE47BC">
        <w:t xml:space="preserve">Choudhry, </w:t>
      </w:r>
      <w:r>
        <w:t xml:space="preserve">Niteesh K, Henry Thomas </w:t>
      </w:r>
      <w:r w:rsidRPr="00DE47BC">
        <w:t>Stelfox</w:t>
      </w:r>
      <w:r>
        <w:t>, and</w:t>
      </w:r>
      <w:r w:rsidRPr="00DE47BC">
        <w:t xml:space="preserve"> </w:t>
      </w:r>
      <w:r>
        <w:t xml:space="preserve">Allan S. </w:t>
      </w:r>
      <w:r w:rsidRPr="00DE47BC">
        <w:t>Detsky (2002)</w:t>
      </w:r>
      <w:r>
        <w:t>,</w:t>
      </w:r>
      <w:r w:rsidRPr="00DE47BC">
        <w:rPr>
          <w:kern w:val="0"/>
        </w:rPr>
        <w:t xml:space="preserve"> </w:t>
      </w:r>
      <w:r>
        <w:rPr>
          <w:kern w:val="0"/>
        </w:rPr>
        <w:t>“Relationships b</w:t>
      </w:r>
      <w:r w:rsidRPr="00DE47BC">
        <w:rPr>
          <w:kern w:val="0"/>
        </w:rPr>
        <w:t xml:space="preserve">etween </w:t>
      </w:r>
      <w:r>
        <w:rPr>
          <w:kern w:val="0"/>
        </w:rPr>
        <w:t>A</w:t>
      </w:r>
      <w:r w:rsidRPr="00DE47BC">
        <w:rPr>
          <w:kern w:val="0"/>
        </w:rPr>
        <w:t>uthors</w:t>
      </w:r>
      <w:r>
        <w:rPr>
          <w:kern w:val="0"/>
        </w:rPr>
        <w:t xml:space="preserve"> of Clinical Practice G</w:t>
      </w:r>
      <w:r w:rsidRPr="00DE47BC">
        <w:rPr>
          <w:kern w:val="0"/>
        </w:rPr>
        <w:t>uidelines</w:t>
      </w:r>
      <w:r>
        <w:rPr>
          <w:kern w:val="0"/>
        </w:rPr>
        <w:t xml:space="preserve"> and the Pharmaceutical I</w:t>
      </w:r>
      <w:r w:rsidRPr="00DE47BC">
        <w:rPr>
          <w:kern w:val="0"/>
        </w:rPr>
        <w:t>ndustry</w:t>
      </w:r>
      <w:r>
        <w:rPr>
          <w:kern w:val="0"/>
        </w:rPr>
        <w:t xml:space="preserve">,” </w:t>
      </w:r>
      <w:r w:rsidRPr="00A759ED">
        <w:rPr>
          <w:i/>
          <w:iCs/>
        </w:rPr>
        <w:t>Journal of the American Medical Association</w:t>
      </w:r>
      <w:r w:rsidRPr="00A759ED">
        <w:t xml:space="preserve">, </w:t>
      </w:r>
      <w:r w:rsidRPr="00572311">
        <w:rPr>
          <w:i/>
          <w:iCs/>
        </w:rPr>
        <w:t>2</w:t>
      </w:r>
      <w:r>
        <w:rPr>
          <w:i/>
          <w:iCs/>
        </w:rPr>
        <w:t xml:space="preserve">87 </w:t>
      </w:r>
      <w:r>
        <w:t>(5</w:t>
      </w:r>
      <w:r w:rsidRPr="00A759ED">
        <w:t xml:space="preserve">), </w:t>
      </w:r>
      <w:r>
        <w:t>612</w:t>
      </w:r>
      <w:r w:rsidRPr="00A759ED">
        <w:t>-</w:t>
      </w:r>
      <w:r>
        <w:t>617</w:t>
      </w:r>
      <w:r w:rsidRPr="00A759ED">
        <w:t>.</w:t>
      </w:r>
    </w:p>
    <w:p w:rsidR="00B80E4F" w:rsidRDefault="00B80E4F" w:rsidP="00B80E4F">
      <w:pPr>
        <w:spacing w:before="240"/>
        <w:ind w:left="720" w:hanging="720"/>
      </w:pPr>
      <w:r w:rsidRPr="00A776AA">
        <w:t>Collis, D</w:t>
      </w:r>
      <w:r>
        <w:t>avid</w:t>
      </w:r>
      <w:r w:rsidRPr="00A776AA">
        <w:t xml:space="preserve"> </w:t>
      </w:r>
      <w:r>
        <w:t>and</w:t>
      </w:r>
      <w:r w:rsidRPr="00A776AA">
        <w:t xml:space="preserve"> </w:t>
      </w:r>
      <w:r>
        <w:t xml:space="preserve">Troy </w:t>
      </w:r>
      <w:r w:rsidRPr="00A776AA">
        <w:t>Smith (2007)</w:t>
      </w:r>
      <w:r>
        <w:t>,</w:t>
      </w:r>
      <w:r w:rsidRPr="00A776AA">
        <w:t xml:space="preserve"> </w:t>
      </w:r>
      <w:r>
        <w:t>“</w:t>
      </w:r>
      <w:r w:rsidRPr="00A776AA">
        <w:t xml:space="preserve">Strategy </w:t>
      </w:r>
      <w:r>
        <w:t>i</w:t>
      </w:r>
      <w:r w:rsidRPr="00A776AA">
        <w:t xml:space="preserve">n </w:t>
      </w:r>
      <w:r>
        <w:t>t</w:t>
      </w:r>
      <w:r w:rsidRPr="00A776AA">
        <w:t xml:space="preserve">he Twenty-First Century Pharmaceutical Industry: </w:t>
      </w:r>
      <w:r>
        <w:t xml:space="preserve">Merck And Co. and Pfizer Inc.” </w:t>
      </w:r>
      <w:smartTag w:uri="urn:schemas-microsoft-com:office:smarttags" w:element="PlaceName">
        <w:r w:rsidRPr="008F4DF7">
          <w:rPr>
            <w:i/>
            <w:iCs/>
          </w:rPr>
          <w:t>Harvard</w:t>
        </w:r>
      </w:smartTag>
      <w:r w:rsidRPr="008F4DF7">
        <w:rPr>
          <w:i/>
          <w:iCs/>
        </w:rPr>
        <w:t xml:space="preserve"> </w:t>
      </w:r>
      <w:smartTag w:uri="urn:schemas-microsoft-com:office:smarttags" w:element="PlaceName">
        <w:r w:rsidRPr="008F4DF7">
          <w:rPr>
            <w:i/>
            <w:iCs/>
          </w:rPr>
          <w:t>Business</w:t>
        </w:r>
      </w:smartTag>
      <w:r w:rsidRPr="008F4DF7">
        <w:rPr>
          <w:i/>
          <w:iCs/>
        </w:rPr>
        <w:t xml:space="preserve"> </w:t>
      </w:r>
      <w:smartTag w:uri="urn:schemas-microsoft-com:office:smarttags" w:element="PlaceType">
        <w:r w:rsidRPr="008F4DF7">
          <w:rPr>
            <w:i/>
            <w:iCs/>
          </w:rPr>
          <w:t>School</w:t>
        </w:r>
      </w:smartTag>
      <w:r>
        <w:t xml:space="preserve">, </w:t>
      </w:r>
      <w:r w:rsidRPr="008F4DF7">
        <w:rPr>
          <w:i/>
          <w:iCs/>
        </w:rPr>
        <w:t>707</w:t>
      </w:r>
      <w:r>
        <w:t>(509), 1-37.</w:t>
      </w:r>
    </w:p>
    <w:p w:rsidR="00B80E4F" w:rsidRPr="006F0485" w:rsidRDefault="00B80E4F" w:rsidP="00B80E4F">
      <w:pPr>
        <w:spacing w:before="240"/>
        <w:ind w:left="720" w:hanging="720"/>
        <w:rPr>
          <w:rFonts w:eastAsia="SimSun"/>
          <w:lang w:eastAsia="zh-CN"/>
        </w:rPr>
      </w:pPr>
      <w:r w:rsidRPr="00012C8D">
        <w:t>C</w:t>
      </w:r>
      <w:r w:rsidRPr="006F0485">
        <w:t>roasdale</w:t>
      </w:r>
      <w:r>
        <w:t>, Myrle</w:t>
      </w:r>
      <w:r w:rsidRPr="006F0485">
        <w:t xml:space="preserve"> </w:t>
      </w:r>
      <w:r>
        <w:t>(</w:t>
      </w:r>
      <w:r w:rsidRPr="006F0485">
        <w:t>2006</w:t>
      </w:r>
      <w:r>
        <w:t>), “Some Medical Schools Say No to Drug Reps’ Free Lunch,</w:t>
      </w:r>
      <w:r w:rsidRPr="006F0485">
        <w:t xml:space="preserve"> </w:t>
      </w:r>
      <w:r>
        <w:t>(Accessed A</w:t>
      </w:r>
      <w:r w:rsidRPr="006F0485">
        <w:t>ugust 31, 2007</w:t>
      </w:r>
      <w:r>
        <w:t xml:space="preserve">), [Available at </w:t>
      </w:r>
      <w:r w:rsidRPr="006F0485">
        <w:rPr>
          <w:kern w:val="0"/>
        </w:rPr>
        <w:t>ama-assn.org/amednews/site/free/prl21009.htm</w:t>
      </w:r>
      <w:r>
        <w:rPr>
          <w:kern w:val="0"/>
        </w:rPr>
        <w:t>l].</w:t>
      </w:r>
    </w:p>
    <w:p w:rsidR="00F646A5" w:rsidRDefault="00F646A5" w:rsidP="00F646A5">
      <w:pPr>
        <w:autoSpaceDE w:val="0"/>
        <w:autoSpaceDN w:val="0"/>
        <w:adjustRightInd w:val="0"/>
        <w:spacing w:before="240"/>
        <w:ind w:left="720" w:hanging="720"/>
      </w:pPr>
      <w:r w:rsidRPr="002B6AF6">
        <w:t>Datamonitor (200</w:t>
      </w:r>
      <w:r>
        <w:t>1</w:t>
      </w:r>
      <w:r w:rsidRPr="002B6AF6">
        <w:t>)</w:t>
      </w:r>
      <w:r w:rsidR="00656F8F">
        <w:t>,</w:t>
      </w:r>
      <w:r>
        <w:t xml:space="preserve"> </w:t>
      </w:r>
      <w:r w:rsidR="0022137C" w:rsidRPr="00FE0909">
        <w:rPr>
          <w:i/>
        </w:rPr>
        <w:t>Personalized Physician Marketing: Using Physician Profiling to Maximize Returns.</w:t>
      </w:r>
      <w:r>
        <w:t xml:space="preserve"> New York: Datamonitor.</w:t>
      </w:r>
    </w:p>
    <w:p w:rsidR="00B80E4F" w:rsidRDefault="00B80E4F" w:rsidP="00396FC8">
      <w:pPr>
        <w:autoSpaceDE w:val="0"/>
        <w:autoSpaceDN w:val="0"/>
        <w:adjustRightInd w:val="0"/>
        <w:spacing w:before="240" w:after="240"/>
        <w:ind w:left="720" w:hanging="720"/>
      </w:pPr>
      <w:r w:rsidRPr="002B6AF6">
        <w:t>Datamonitor (2006)</w:t>
      </w:r>
      <w:r w:rsidR="00656F8F">
        <w:t>,</w:t>
      </w:r>
      <w:r>
        <w:t xml:space="preserve"> </w:t>
      </w:r>
      <w:r w:rsidRPr="00AF735C">
        <w:rPr>
          <w:i/>
          <w:iCs/>
        </w:rPr>
        <w:t xml:space="preserve">Pharmaceuticals </w:t>
      </w:r>
      <w:r>
        <w:rPr>
          <w:i/>
          <w:iCs/>
        </w:rPr>
        <w:t>i</w:t>
      </w:r>
      <w:r w:rsidRPr="00AF735C">
        <w:rPr>
          <w:i/>
          <w:iCs/>
        </w:rPr>
        <w:t xml:space="preserve">n </w:t>
      </w:r>
      <w:r>
        <w:rPr>
          <w:i/>
          <w:iCs/>
        </w:rPr>
        <w:t>t</w:t>
      </w:r>
      <w:r w:rsidRPr="00AF735C">
        <w:rPr>
          <w:i/>
          <w:iCs/>
        </w:rPr>
        <w:t>he United States: Industry Profile.</w:t>
      </w:r>
      <w:r>
        <w:t xml:space="preserve"> New York: Datamonitor.</w:t>
      </w:r>
    </w:p>
    <w:p w:rsidR="00B80E4F" w:rsidRPr="00A759ED" w:rsidRDefault="00B80E4F" w:rsidP="00396FC8">
      <w:pPr>
        <w:autoSpaceDE w:val="0"/>
        <w:autoSpaceDN w:val="0"/>
        <w:adjustRightInd w:val="0"/>
        <w:spacing w:after="240"/>
        <w:ind w:left="720" w:hanging="720"/>
      </w:pPr>
      <w:r w:rsidRPr="00A759ED">
        <w:t>DeAngelis, Catherine D. (2006)</w:t>
      </w:r>
      <w:r>
        <w:t>,</w:t>
      </w:r>
      <w:r w:rsidRPr="00A759ED">
        <w:t xml:space="preserve"> </w:t>
      </w:r>
      <w:r>
        <w:t>“</w:t>
      </w:r>
      <w:r w:rsidRPr="00A759ED">
        <w:t xml:space="preserve">The </w:t>
      </w:r>
      <w:r>
        <w:t>I</w:t>
      </w:r>
      <w:r w:rsidRPr="00A759ED">
        <w:t xml:space="preserve">nfluence </w:t>
      </w:r>
      <w:r>
        <w:t>o</w:t>
      </w:r>
      <w:r w:rsidRPr="00A759ED">
        <w:t xml:space="preserve">f </w:t>
      </w:r>
      <w:r>
        <w:t>M</w:t>
      </w:r>
      <w:r w:rsidRPr="00A759ED">
        <w:t xml:space="preserve">oney </w:t>
      </w:r>
      <w:r>
        <w:t>o</w:t>
      </w:r>
      <w:r w:rsidRPr="00A759ED">
        <w:t xml:space="preserve">n </w:t>
      </w:r>
      <w:r>
        <w:t>M</w:t>
      </w:r>
      <w:r w:rsidRPr="00A759ED">
        <w:t xml:space="preserve">edical </w:t>
      </w:r>
      <w:r>
        <w:t>S</w:t>
      </w:r>
      <w:r w:rsidRPr="00A759ED">
        <w:t>cience</w:t>
      </w:r>
      <w:r>
        <w:t>,”</w:t>
      </w:r>
      <w:r w:rsidRPr="00A759ED">
        <w:t xml:space="preserve"> </w:t>
      </w:r>
      <w:r w:rsidRPr="00A759ED">
        <w:rPr>
          <w:i/>
          <w:iCs/>
        </w:rPr>
        <w:t>Journal of the American Medical Association</w:t>
      </w:r>
      <w:r w:rsidRPr="00A759ED">
        <w:t xml:space="preserve">, </w:t>
      </w:r>
      <w:r w:rsidRPr="00572311">
        <w:rPr>
          <w:i/>
          <w:iCs/>
        </w:rPr>
        <w:t>296</w:t>
      </w:r>
      <w:r>
        <w:rPr>
          <w:i/>
          <w:iCs/>
        </w:rPr>
        <w:t xml:space="preserve"> (2)</w:t>
      </w:r>
      <w:r w:rsidRPr="00A759ED">
        <w:t>, 996-98.</w:t>
      </w:r>
    </w:p>
    <w:p w:rsidR="00B80E4F" w:rsidRDefault="00B80E4F" w:rsidP="00396FC8">
      <w:pPr>
        <w:spacing w:after="240"/>
        <w:ind w:left="720" w:hanging="720"/>
      </w:pPr>
      <w:r>
        <w:t xml:space="preserve">Deephouse, David L. and Suzanne M. Carter (2005), “An Examination of Differences between Organizational Legitimacy and Organizational Reputation,” </w:t>
      </w:r>
      <w:r w:rsidRPr="002607A0">
        <w:rPr>
          <w:i/>
        </w:rPr>
        <w:t>Journal of Management Studies</w:t>
      </w:r>
      <w:r>
        <w:t>, 42 (March), 329-360.</w:t>
      </w:r>
    </w:p>
    <w:p w:rsidR="00F94433" w:rsidRDefault="00AA4C6C" w:rsidP="00396FC8">
      <w:pPr>
        <w:spacing w:after="240"/>
        <w:ind w:left="720" w:hanging="720"/>
      </w:pPr>
      <w:bookmarkStart w:id="1" w:name="citation"/>
      <w:r>
        <w:lastRenderedPageBreak/>
        <w:t>Denzau, Arthur T. and Douglas C. North (1994), “</w:t>
      </w:r>
      <w:r w:rsidR="00A00A00">
        <w:t xml:space="preserve">Shared </w:t>
      </w:r>
      <w:r>
        <w:t>M</w:t>
      </w:r>
      <w:r w:rsidR="00A00A00">
        <w:t xml:space="preserve">ental </w:t>
      </w:r>
      <w:r>
        <w:t>M</w:t>
      </w:r>
      <w:r w:rsidR="00A00A00">
        <w:t>odels: Ideologies and</w:t>
      </w:r>
      <w:r w:rsidR="00396FC8">
        <w:t xml:space="preserve"> </w:t>
      </w:r>
      <w:r>
        <w:t>I</w:t>
      </w:r>
      <w:r w:rsidR="00A00A00">
        <w:t>nstitutions</w:t>
      </w:r>
      <w:bookmarkEnd w:id="1"/>
      <w:r>
        <w:t xml:space="preserve">,” </w:t>
      </w:r>
      <w:r w:rsidR="0022137C" w:rsidRPr="00FE0909">
        <w:rPr>
          <w:i/>
        </w:rPr>
        <w:t>Kyklos</w:t>
      </w:r>
      <w:r>
        <w:t xml:space="preserve">, </w:t>
      </w:r>
      <w:r w:rsidR="00A00A00">
        <w:t>47</w:t>
      </w:r>
      <w:r>
        <w:t xml:space="preserve"> (</w:t>
      </w:r>
      <w:r w:rsidR="00A00A00">
        <w:t>1</w:t>
      </w:r>
      <w:r>
        <w:t>)</w:t>
      </w:r>
      <w:r w:rsidR="00A00A00">
        <w:t>, 3</w:t>
      </w:r>
      <w:r>
        <w:t>-35.</w:t>
      </w:r>
      <w:r w:rsidR="00A00A00">
        <w:t xml:space="preserve"> </w:t>
      </w:r>
    </w:p>
    <w:p w:rsidR="00B80E4F" w:rsidRDefault="00B80E4F" w:rsidP="00396FC8">
      <w:pPr>
        <w:autoSpaceDE w:val="0"/>
        <w:autoSpaceDN w:val="0"/>
        <w:adjustRightInd w:val="0"/>
        <w:spacing w:before="240"/>
        <w:ind w:left="720" w:hanging="720"/>
      </w:pPr>
      <w:r w:rsidRPr="00124959">
        <w:t>DiMaggio,</w:t>
      </w:r>
      <w:r>
        <w:t xml:space="preserve"> Paul</w:t>
      </w:r>
      <w:r w:rsidRPr="00124959">
        <w:t xml:space="preserve"> </w:t>
      </w:r>
      <w:r>
        <w:t>J. (</w:t>
      </w:r>
      <w:r w:rsidRPr="00124959">
        <w:t>1997</w:t>
      </w:r>
      <w:r w:rsidR="00E610C1">
        <w:t>), “Culture a</w:t>
      </w:r>
      <w:r>
        <w:t xml:space="preserve">nd Cognition: An Interdisciplinary Review,” </w:t>
      </w:r>
      <w:r w:rsidRPr="00124959">
        <w:rPr>
          <w:i/>
          <w:iCs/>
        </w:rPr>
        <w:t>Annual Review of Sociology</w:t>
      </w:r>
      <w:r>
        <w:t>, 23, 263-287.</w:t>
      </w:r>
    </w:p>
    <w:p w:rsidR="00B80E4F" w:rsidRDefault="00B80E4F" w:rsidP="00396FC8">
      <w:pPr>
        <w:autoSpaceDE w:val="0"/>
        <w:autoSpaceDN w:val="0"/>
        <w:adjustRightInd w:val="0"/>
        <w:ind w:left="720" w:hanging="720"/>
      </w:pPr>
    </w:p>
    <w:p w:rsidR="00B80E4F" w:rsidRDefault="00B80E4F" w:rsidP="00396FC8">
      <w:pPr>
        <w:autoSpaceDE w:val="0"/>
        <w:autoSpaceDN w:val="0"/>
        <w:adjustRightInd w:val="0"/>
        <w:ind w:left="720" w:hanging="720"/>
        <w:rPr>
          <w:kern w:val="0"/>
        </w:rPr>
      </w:pPr>
      <w:r>
        <w:rPr>
          <w:kern w:val="0"/>
        </w:rPr>
        <w:t>_________ and Walter W. Powell (1983), “The Iron Cage Revisited: Institutional</w:t>
      </w:r>
      <w:r w:rsidR="00396FC8">
        <w:rPr>
          <w:kern w:val="0"/>
        </w:rPr>
        <w:t xml:space="preserve"> </w:t>
      </w:r>
      <w:r>
        <w:rPr>
          <w:kern w:val="0"/>
        </w:rPr>
        <w:t xml:space="preserve">Isomorphism and Collective Rationality in Organizational Fields,” </w:t>
      </w:r>
      <w:r w:rsidRPr="0051002C">
        <w:rPr>
          <w:i/>
          <w:kern w:val="0"/>
        </w:rPr>
        <w:t>American Sociological Review</w:t>
      </w:r>
      <w:r>
        <w:rPr>
          <w:i/>
          <w:kern w:val="0"/>
        </w:rPr>
        <w:t>,</w:t>
      </w:r>
      <w:r>
        <w:rPr>
          <w:kern w:val="0"/>
        </w:rPr>
        <w:t xml:space="preserve"> 48 (April), 147-160.</w:t>
      </w:r>
    </w:p>
    <w:p w:rsidR="00B80E4F" w:rsidRDefault="00B80E4F" w:rsidP="00396FC8">
      <w:pPr>
        <w:autoSpaceDE w:val="0"/>
        <w:autoSpaceDN w:val="0"/>
        <w:adjustRightInd w:val="0"/>
        <w:ind w:left="720" w:hanging="720"/>
        <w:rPr>
          <w:kern w:val="0"/>
        </w:rPr>
      </w:pPr>
    </w:p>
    <w:p w:rsidR="00B80E4F" w:rsidRDefault="00B80E4F" w:rsidP="00396FC8">
      <w:pPr>
        <w:autoSpaceDE w:val="0"/>
        <w:autoSpaceDN w:val="0"/>
        <w:adjustRightInd w:val="0"/>
        <w:ind w:left="720" w:hanging="720"/>
        <w:rPr>
          <w:kern w:val="0"/>
        </w:rPr>
      </w:pPr>
      <w:r>
        <w:t>________ and ________</w:t>
      </w:r>
      <w:r w:rsidRPr="0051002C">
        <w:rPr>
          <w:kern w:val="0"/>
        </w:rPr>
        <w:t xml:space="preserve"> </w:t>
      </w:r>
      <w:r>
        <w:rPr>
          <w:kern w:val="0"/>
        </w:rPr>
        <w:t>(</w:t>
      </w:r>
      <w:r w:rsidRPr="0051002C">
        <w:rPr>
          <w:kern w:val="0"/>
        </w:rPr>
        <w:t>1991</w:t>
      </w:r>
      <w:r>
        <w:rPr>
          <w:kern w:val="0"/>
        </w:rPr>
        <w:t>),</w:t>
      </w:r>
      <w:r w:rsidRPr="0051002C">
        <w:rPr>
          <w:kern w:val="0"/>
        </w:rPr>
        <w:t xml:space="preserve"> </w:t>
      </w:r>
      <w:r>
        <w:rPr>
          <w:kern w:val="0"/>
        </w:rPr>
        <w:t>“Introduction,”</w:t>
      </w:r>
      <w:r w:rsidRPr="0051002C">
        <w:rPr>
          <w:kern w:val="0"/>
        </w:rPr>
        <w:t xml:space="preserve"> </w:t>
      </w:r>
      <w:r>
        <w:rPr>
          <w:kern w:val="0"/>
        </w:rPr>
        <w:t>i</w:t>
      </w:r>
      <w:r w:rsidRPr="0051002C">
        <w:rPr>
          <w:kern w:val="0"/>
        </w:rPr>
        <w:t>n</w:t>
      </w:r>
      <w:r>
        <w:rPr>
          <w:kern w:val="0"/>
        </w:rPr>
        <w:t xml:space="preserve"> </w:t>
      </w:r>
      <w:r w:rsidRPr="0051002C">
        <w:rPr>
          <w:i/>
          <w:iCs/>
          <w:kern w:val="0"/>
        </w:rPr>
        <w:t>The New Institutionalism in</w:t>
      </w:r>
      <w:r w:rsidR="00396FC8">
        <w:rPr>
          <w:i/>
          <w:iCs/>
          <w:kern w:val="0"/>
        </w:rPr>
        <w:t xml:space="preserve"> </w:t>
      </w:r>
      <w:r w:rsidRPr="0051002C">
        <w:rPr>
          <w:i/>
          <w:iCs/>
          <w:kern w:val="0"/>
        </w:rPr>
        <w:t>Organizational</w:t>
      </w:r>
      <w:r>
        <w:rPr>
          <w:i/>
          <w:iCs/>
          <w:kern w:val="0"/>
        </w:rPr>
        <w:t xml:space="preserve"> </w:t>
      </w:r>
      <w:r w:rsidRPr="0051002C">
        <w:rPr>
          <w:i/>
          <w:iCs/>
          <w:kern w:val="0"/>
        </w:rPr>
        <w:t xml:space="preserve">Analysis, </w:t>
      </w:r>
      <w:r w:rsidRPr="0051002C">
        <w:rPr>
          <w:kern w:val="0"/>
        </w:rPr>
        <w:t>ed</w:t>
      </w:r>
      <w:r>
        <w:rPr>
          <w:kern w:val="0"/>
        </w:rPr>
        <w:t>s</w:t>
      </w:r>
      <w:r w:rsidRPr="0051002C">
        <w:rPr>
          <w:kern w:val="0"/>
        </w:rPr>
        <w:t>. W</w:t>
      </w:r>
      <w:r>
        <w:rPr>
          <w:kern w:val="0"/>
        </w:rPr>
        <w:t>.</w:t>
      </w:r>
      <w:r w:rsidRPr="0051002C">
        <w:rPr>
          <w:kern w:val="0"/>
        </w:rPr>
        <w:t>W</w:t>
      </w:r>
      <w:r>
        <w:rPr>
          <w:kern w:val="0"/>
        </w:rPr>
        <w:t>.</w:t>
      </w:r>
      <w:r w:rsidRPr="0051002C">
        <w:rPr>
          <w:kern w:val="0"/>
        </w:rPr>
        <w:t xml:space="preserve"> Powell</w:t>
      </w:r>
      <w:r>
        <w:rPr>
          <w:kern w:val="0"/>
        </w:rPr>
        <w:t xml:space="preserve"> and</w:t>
      </w:r>
      <w:r w:rsidRPr="0051002C">
        <w:rPr>
          <w:kern w:val="0"/>
        </w:rPr>
        <w:t xml:space="preserve"> DiMaggio, </w:t>
      </w:r>
      <w:r>
        <w:rPr>
          <w:kern w:val="0"/>
        </w:rPr>
        <w:t xml:space="preserve">P.J., </w:t>
      </w:r>
      <w:r w:rsidRPr="0051002C">
        <w:rPr>
          <w:kern w:val="0"/>
        </w:rPr>
        <w:t>1–38. Chicago: Univ</w:t>
      </w:r>
      <w:r>
        <w:rPr>
          <w:kern w:val="0"/>
        </w:rPr>
        <w:t xml:space="preserve">ersity of </w:t>
      </w:r>
      <w:r w:rsidRPr="0051002C">
        <w:rPr>
          <w:kern w:val="0"/>
        </w:rPr>
        <w:t>Chicago Press</w:t>
      </w:r>
      <w:r>
        <w:rPr>
          <w:kern w:val="0"/>
        </w:rPr>
        <w:t>.</w:t>
      </w:r>
    </w:p>
    <w:p w:rsidR="00F94433" w:rsidRDefault="00F94433" w:rsidP="00396FC8">
      <w:pPr>
        <w:pStyle w:val="NoSpacing"/>
        <w:ind w:left="720" w:hanging="720"/>
        <w:rPr>
          <w:kern w:val="0"/>
        </w:rPr>
      </w:pPr>
    </w:p>
    <w:p w:rsidR="00F94433" w:rsidRPr="00FE0909" w:rsidRDefault="0022137C" w:rsidP="00396FC8">
      <w:pPr>
        <w:pStyle w:val="NoSpacing"/>
        <w:ind w:left="720" w:hanging="720"/>
        <w:rPr>
          <w:kern w:val="32"/>
        </w:rPr>
      </w:pPr>
      <w:r w:rsidRPr="00FE0909">
        <w:rPr>
          <w:kern w:val="0"/>
        </w:rPr>
        <w:t>Eichacker, Peter Q., Charles Natanson, and Robert L. Danner (2006),</w:t>
      </w:r>
      <w:r w:rsidR="006406FF">
        <w:rPr>
          <w:kern w:val="0"/>
        </w:rPr>
        <w:t xml:space="preserve"> </w:t>
      </w:r>
      <w:r w:rsidRPr="00FE0909">
        <w:rPr>
          <w:kern w:val="0"/>
        </w:rPr>
        <w:t>“</w:t>
      </w:r>
      <w:r w:rsidRPr="00FE0909">
        <w:t>Surviving Sepsis:</w:t>
      </w:r>
      <w:r w:rsidR="00396FC8">
        <w:t xml:space="preserve"> </w:t>
      </w:r>
      <w:r w:rsidR="00A305D5">
        <w:t>Practice Guidelines, Marketing Campaigns, and Eli Lilly</w:t>
      </w:r>
      <w:r w:rsidRPr="00FE0909">
        <w:t>,”</w:t>
      </w:r>
      <w:r w:rsidR="006406FF">
        <w:rPr>
          <w:b/>
        </w:rPr>
        <w:t xml:space="preserve"> </w:t>
      </w:r>
      <w:r w:rsidRPr="00FE0909">
        <w:rPr>
          <w:rStyle w:val="citation"/>
          <w:i/>
        </w:rPr>
        <w:t>New England Journal of Medicine,</w:t>
      </w:r>
      <w:r w:rsidR="006406FF">
        <w:rPr>
          <w:rStyle w:val="citation"/>
          <w:i/>
        </w:rPr>
        <w:t xml:space="preserve"> </w:t>
      </w:r>
      <w:r w:rsidR="00A305D5">
        <w:rPr>
          <w:rStyle w:val="citation"/>
        </w:rPr>
        <w:t>355, 1640-1642.</w:t>
      </w:r>
    </w:p>
    <w:p w:rsidR="006406FF" w:rsidRDefault="006406FF" w:rsidP="00396FC8">
      <w:pPr>
        <w:autoSpaceDE w:val="0"/>
        <w:autoSpaceDN w:val="0"/>
        <w:adjustRightInd w:val="0"/>
        <w:ind w:left="720" w:hanging="720"/>
        <w:rPr>
          <w:rStyle w:val="aphead"/>
        </w:rPr>
      </w:pPr>
    </w:p>
    <w:p w:rsidR="00B80E4F" w:rsidRDefault="00B80E4F" w:rsidP="006406FF">
      <w:pPr>
        <w:autoSpaceDE w:val="0"/>
        <w:autoSpaceDN w:val="0"/>
        <w:adjustRightInd w:val="0"/>
        <w:ind w:left="720" w:hanging="720"/>
        <w:rPr>
          <w:kern w:val="0"/>
        </w:rPr>
      </w:pPr>
      <w:r>
        <w:rPr>
          <w:rStyle w:val="aphead"/>
        </w:rPr>
        <w:t xml:space="preserve">Esch, M. (2008), “Legal Questions Raised on NY's Gas-Drilling Rules,” (Accessed July 15, 2011). [Available at </w:t>
      </w:r>
      <w:r w:rsidRPr="00DD6DC7">
        <w:rPr>
          <w:rStyle w:val="aphead"/>
        </w:rPr>
        <w:t>h</w:t>
      </w:r>
      <w:hyperlink r:id="rId17" w:history="1">
        <w:r w:rsidRPr="00551639">
          <w:rPr>
            <w:rStyle w:val="Hyperlink"/>
          </w:rPr>
          <w:t>ttp://hosted2.ap.org/PASCR/d30f3f32e9d849979111e891380b64db/Article_2011-07-1</w:t>
        </w:r>
      </w:hyperlink>
      <w:r w:rsidRPr="00DD6DC7">
        <w:rPr>
          <w:rStyle w:val="aphead"/>
        </w:rPr>
        <w:t>1-Gas%20Drilling-NY%20Rules/id-a10f25d5982b48fa979fea01a1e020ff</w:t>
      </w:r>
      <w:r>
        <w:rPr>
          <w:rStyle w:val="aphead"/>
        </w:rPr>
        <w:t>].</w:t>
      </w:r>
      <w:hyperlink r:id="rId18" w:history="1">
        <w:r>
          <w:rPr>
            <w:rStyle w:val="Hyperlink"/>
            <w:vanish/>
          </w:rPr>
          <w:t>MARY ESCH</w:t>
        </w:r>
      </w:hyperlink>
    </w:p>
    <w:p w:rsidR="007B4D3B" w:rsidRDefault="007B4D3B" w:rsidP="007B4D3B">
      <w:pPr>
        <w:autoSpaceDE w:val="0"/>
        <w:autoSpaceDN w:val="0"/>
        <w:adjustRightInd w:val="0"/>
        <w:outlineLvl w:val="0"/>
        <w:rPr>
          <w:kern w:val="0"/>
        </w:rPr>
      </w:pPr>
    </w:p>
    <w:p w:rsidR="007B4D3B" w:rsidRDefault="007B4D3B" w:rsidP="007B4D3B">
      <w:pPr>
        <w:autoSpaceDE w:val="0"/>
        <w:autoSpaceDN w:val="0"/>
        <w:adjustRightInd w:val="0"/>
        <w:outlineLvl w:val="0"/>
        <w:rPr>
          <w:i/>
          <w:iCs/>
        </w:rPr>
      </w:pPr>
      <w:r>
        <w:rPr>
          <w:kern w:val="0"/>
        </w:rPr>
        <w:t>Fag</w:t>
      </w:r>
      <w:r>
        <w:t>an, Perry L. (</w:t>
      </w:r>
      <w:r w:rsidRPr="003B7060">
        <w:t>1998</w:t>
      </w:r>
      <w:r>
        <w:t>), “The Pharma Giants: Ready for the 21</w:t>
      </w:r>
      <w:r w:rsidRPr="003B7060">
        <w:rPr>
          <w:vertAlign w:val="superscript"/>
        </w:rPr>
        <w:t>st</w:t>
      </w:r>
      <w:r>
        <w:t xml:space="preserve"> Century?” </w:t>
      </w:r>
      <w:r w:rsidRPr="003B7060">
        <w:rPr>
          <w:i/>
          <w:iCs/>
        </w:rPr>
        <w:t>Harvard Business</w:t>
      </w:r>
    </w:p>
    <w:p w:rsidR="007B4D3B" w:rsidRDefault="007B4D3B" w:rsidP="007B4D3B">
      <w:pPr>
        <w:autoSpaceDE w:val="0"/>
        <w:autoSpaceDN w:val="0"/>
        <w:adjustRightInd w:val="0"/>
        <w:ind w:firstLine="720"/>
      </w:pPr>
      <w:r w:rsidRPr="003B7060">
        <w:rPr>
          <w:i/>
          <w:iCs/>
        </w:rPr>
        <w:t xml:space="preserve"> School</w:t>
      </w:r>
      <w:r>
        <w:t xml:space="preserve">, </w:t>
      </w:r>
      <w:r w:rsidRPr="006F4CA6">
        <w:rPr>
          <w:i/>
          <w:iCs/>
        </w:rPr>
        <w:t>698</w:t>
      </w:r>
      <w:r>
        <w:rPr>
          <w:i/>
          <w:iCs/>
        </w:rPr>
        <w:t xml:space="preserve"> </w:t>
      </w:r>
      <w:r w:rsidRPr="006F4CA6">
        <w:t>(70), 1-34.</w:t>
      </w:r>
    </w:p>
    <w:p w:rsidR="00B80E4F" w:rsidRPr="00DE47BC" w:rsidRDefault="00B80E4F" w:rsidP="00B80E4F">
      <w:pPr>
        <w:autoSpaceDE w:val="0"/>
        <w:autoSpaceDN w:val="0"/>
        <w:adjustRightInd w:val="0"/>
        <w:spacing w:before="240"/>
        <w:ind w:left="720" w:hanging="720"/>
      </w:pPr>
      <w:r w:rsidRPr="00DE47BC">
        <w:rPr>
          <w:color w:val="292526"/>
          <w:kern w:val="0"/>
        </w:rPr>
        <w:t>Flanagin, A</w:t>
      </w:r>
      <w:r>
        <w:rPr>
          <w:color w:val="292526"/>
          <w:kern w:val="0"/>
        </w:rPr>
        <w:t>nnette</w:t>
      </w:r>
      <w:r w:rsidRPr="00DE47BC">
        <w:rPr>
          <w:color w:val="292526"/>
          <w:kern w:val="0"/>
        </w:rPr>
        <w:t xml:space="preserve">, </w:t>
      </w:r>
      <w:r>
        <w:rPr>
          <w:color w:val="292526"/>
          <w:kern w:val="0"/>
        </w:rPr>
        <w:t xml:space="preserve">Lisa A. </w:t>
      </w:r>
      <w:r w:rsidRPr="00DE47BC">
        <w:rPr>
          <w:color w:val="292526"/>
          <w:kern w:val="0"/>
        </w:rPr>
        <w:t xml:space="preserve">Carey, </w:t>
      </w:r>
      <w:r>
        <w:rPr>
          <w:color w:val="292526"/>
          <w:kern w:val="0"/>
        </w:rPr>
        <w:t xml:space="preserve">Philip B. </w:t>
      </w:r>
      <w:r w:rsidRPr="00DE47BC">
        <w:rPr>
          <w:color w:val="292526"/>
          <w:kern w:val="0"/>
        </w:rPr>
        <w:t xml:space="preserve">Fontanarosa, </w:t>
      </w:r>
      <w:r>
        <w:rPr>
          <w:color w:val="292526"/>
          <w:kern w:val="0"/>
        </w:rPr>
        <w:t xml:space="preserve">Stephanie G. </w:t>
      </w:r>
      <w:r w:rsidRPr="00DE47BC">
        <w:t xml:space="preserve">Phillips, </w:t>
      </w:r>
      <w:r>
        <w:t xml:space="preserve">Brian P. </w:t>
      </w:r>
      <w:r w:rsidRPr="00DE47BC">
        <w:t xml:space="preserve">Pace, </w:t>
      </w:r>
      <w:r>
        <w:t xml:space="preserve">George D. </w:t>
      </w:r>
      <w:r w:rsidRPr="00DE47BC">
        <w:t xml:space="preserve">Lundberg, </w:t>
      </w:r>
      <w:r>
        <w:t xml:space="preserve">and </w:t>
      </w:r>
      <w:r w:rsidRPr="00DE47BC">
        <w:t>D</w:t>
      </w:r>
      <w:r>
        <w:t xml:space="preserve">rummond </w:t>
      </w:r>
      <w:r w:rsidRPr="00DE47BC">
        <w:t>Rennie (1998)</w:t>
      </w:r>
      <w:r>
        <w:t>,</w:t>
      </w:r>
      <w:r w:rsidRPr="00DE47BC">
        <w:t xml:space="preserve"> </w:t>
      </w:r>
      <w:r>
        <w:t>“</w:t>
      </w:r>
      <w:r w:rsidRPr="00DE47BC">
        <w:rPr>
          <w:color w:val="292526"/>
          <w:kern w:val="0"/>
        </w:rPr>
        <w:t xml:space="preserve">Prevalence </w:t>
      </w:r>
      <w:r>
        <w:rPr>
          <w:color w:val="292526"/>
          <w:kern w:val="0"/>
        </w:rPr>
        <w:t>o</w:t>
      </w:r>
      <w:r w:rsidRPr="00DE47BC">
        <w:rPr>
          <w:color w:val="292526"/>
          <w:kern w:val="0"/>
        </w:rPr>
        <w:t xml:space="preserve">f Articles With Honorary Authors And Ghost Authors </w:t>
      </w:r>
      <w:r>
        <w:rPr>
          <w:color w:val="292526"/>
          <w:kern w:val="0"/>
        </w:rPr>
        <w:t>i</w:t>
      </w:r>
      <w:r w:rsidRPr="00DE47BC">
        <w:rPr>
          <w:color w:val="292526"/>
          <w:kern w:val="0"/>
        </w:rPr>
        <w:t>n Peer-Reviewed Medical Journals</w:t>
      </w:r>
      <w:r>
        <w:rPr>
          <w:color w:val="292526"/>
          <w:kern w:val="0"/>
        </w:rPr>
        <w:t>,”</w:t>
      </w:r>
      <w:r w:rsidRPr="00DE47BC">
        <w:rPr>
          <w:color w:val="292526"/>
          <w:kern w:val="0"/>
        </w:rPr>
        <w:t xml:space="preserve"> </w:t>
      </w:r>
      <w:r w:rsidRPr="00DE47BC">
        <w:rPr>
          <w:i/>
          <w:iCs/>
          <w:color w:val="292526"/>
          <w:kern w:val="0"/>
        </w:rPr>
        <w:t>J</w:t>
      </w:r>
      <w:r w:rsidRPr="00DE47BC">
        <w:rPr>
          <w:i/>
          <w:iCs/>
          <w:color w:val="292526"/>
        </w:rPr>
        <w:t xml:space="preserve">ournal of the </w:t>
      </w:r>
      <w:r w:rsidRPr="00DE47BC">
        <w:rPr>
          <w:i/>
          <w:iCs/>
          <w:color w:val="292526"/>
          <w:kern w:val="0"/>
        </w:rPr>
        <w:t>A</w:t>
      </w:r>
      <w:r w:rsidRPr="00DE47BC">
        <w:rPr>
          <w:i/>
          <w:iCs/>
          <w:color w:val="292526"/>
        </w:rPr>
        <w:t xml:space="preserve">merican </w:t>
      </w:r>
      <w:r w:rsidRPr="00DE47BC">
        <w:rPr>
          <w:i/>
          <w:iCs/>
          <w:color w:val="292526"/>
          <w:kern w:val="0"/>
        </w:rPr>
        <w:t>M</w:t>
      </w:r>
      <w:r w:rsidRPr="00DE47BC">
        <w:rPr>
          <w:i/>
          <w:iCs/>
          <w:color w:val="292526"/>
        </w:rPr>
        <w:t xml:space="preserve">edical </w:t>
      </w:r>
      <w:r w:rsidRPr="00DE47BC">
        <w:rPr>
          <w:i/>
          <w:iCs/>
          <w:color w:val="292526"/>
          <w:kern w:val="0"/>
        </w:rPr>
        <w:t>A</w:t>
      </w:r>
      <w:r w:rsidRPr="00DE47BC">
        <w:rPr>
          <w:i/>
          <w:iCs/>
          <w:color w:val="292526"/>
        </w:rPr>
        <w:t>ssociation</w:t>
      </w:r>
      <w:r w:rsidRPr="00DE47BC">
        <w:rPr>
          <w:color w:val="292526"/>
        </w:rPr>
        <w:t>,</w:t>
      </w:r>
      <w:r w:rsidRPr="00DE47BC">
        <w:rPr>
          <w:color w:val="292526"/>
          <w:kern w:val="0"/>
        </w:rPr>
        <w:t xml:space="preserve"> </w:t>
      </w:r>
      <w:r w:rsidRPr="00DE47BC">
        <w:rPr>
          <w:i/>
          <w:iCs/>
          <w:color w:val="292526"/>
          <w:kern w:val="0"/>
        </w:rPr>
        <w:t>280</w:t>
      </w:r>
      <w:r>
        <w:rPr>
          <w:i/>
          <w:iCs/>
          <w:color w:val="292526"/>
          <w:kern w:val="0"/>
        </w:rPr>
        <w:t xml:space="preserve"> </w:t>
      </w:r>
      <w:r w:rsidRPr="00DE47BC">
        <w:rPr>
          <w:color w:val="292526"/>
        </w:rPr>
        <w:t xml:space="preserve">(3), </w:t>
      </w:r>
      <w:r w:rsidRPr="00DE47BC">
        <w:rPr>
          <w:color w:val="292526"/>
          <w:kern w:val="0"/>
        </w:rPr>
        <w:t>222-224.</w:t>
      </w:r>
    </w:p>
    <w:p w:rsidR="00B80E4F" w:rsidRPr="004E4443" w:rsidRDefault="00B80E4F" w:rsidP="00B80E4F">
      <w:pPr>
        <w:autoSpaceDE w:val="0"/>
        <w:autoSpaceDN w:val="0"/>
        <w:adjustRightInd w:val="0"/>
        <w:spacing w:before="240"/>
        <w:ind w:left="720" w:hanging="720"/>
      </w:pPr>
      <w:r w:rsidRPr="004E4443">
        <w:t>Freidson, E</w:t>
      </w:r>
      <w:r>
        <w:t>liot</w:t>
      </w:r>
      <w:r w:rsidRPr="004E4443">
        <w:t xml:space="preserve"> (2001)</w:t>
      </w:r>
      <w:r>
        <w:t>,</w:t>
      </w:r>
      <w:r w:rsidRPr="004E4443">
        <w:t xml:space="preserve"> </w:t>
      </w:r>
      <w:r w:rsidRPr="004E4443">
        <w:rPr>
          <w:i/>
          <w:iCs/>
        </w:rPr>
        <w:t xml:space="preserve">Professionalism: </w:t>
      </w:r>
      <w:r>
        <w:rPr>
          <w:i/>
          <w:iCs/>
        </w:rPr>
        <w:t>T</w:t>
      </w:r>
      <w:r w:rsidRPr="004E4443">
        <w:rPr>
          <w:i/>
          <w:iCs/>
        </w:rPr>
        <w:t>he Third Logic</w:t>
      </w:r>
      <w:r w:rsidRPr="004E4443">
        <w:t xml:space="preserve">. </w:t>
      </w:r>
      <w:smartTag w:uri="urn:schemas-microsoft-com:office:smarttags" w:element="place">
        <w:smartTag w:uri="urn:schemas-microsoft-com:office:smarttags" w:element="City">
          <w:r w:rsidRPr="004E4443">
            <w:t>Chicago</w:t>
          </w:r>
        </w:smartTag>
        <w:r w:rsidRPr="004E4443">
          <w:t xml:space="preserve">, </w:t>
        </w:r>
        <w:smartTag w:uri="urn:schemas-microsoft-com:office:smarttags" w:element="State">
          <w:r w:rsidRPr="004E4443">
            <w:t>IL</w:t>
          </w:r>
        </w:smartTag>
      </w:smartTag>
      <w:r w:rsidRPr="004E4443">
        <w:t xml:space="preserve">: </w:t>
      </w:r>
      <w:smartTag w:uri="urn:schemas-microsoft-com:office:smarttags" w:element="place">
        <w:smartTag w:uri="urn:schemas-microsoft-com:office:smarttags" w:element="PlaceType">
          <w:r w:rsidRPr="004E4443">
            <w:t>University</w:t>
          </w:r>
        </w:smartTag>
        <w:r w:rsidRPr="004E4443">
          <w:t xml:space="preserve"> of </w:t>
        </w:r>
        <w:smartTag w:uri="urn:schemas-microsoft-com:office:smarttags" w:element="PlaceName">
          <w:r w:rsidRPr="004E4443">
            <w:t>Chicago</w:t>
          </w:r>
        </w:smartTag>
      </w:smartTag>
      <w:r w:rsidRPr="004E4443">
        <w:t xml:space="preserve"> Press.</w:t>
      </w:r>
    </w:p>
    <w:p w:rsidR="00202C7D" w:rsidRDefault="00202C7D" w:rsidP="00B80E4F">
      <w:pPr>
        <w:autoSpaceDE w:val="0"/>
        <w:autoSpaceDN w:val="0"/>
        <w:adjustRightInd w:val="0"/>
        <w:spacing w:before="240"/>
        <w:ind w:left="720" w:hanging="720"/>
      </w:pPr>
      <w:r>
        <w:t xml:space="preserve">Fugh-Berman, Adriane (2008), “Prescription Tracking and Public Health,” </w:t>
      </w:r>
      <w:r>
        <w:rPr>
          <w:i/>
        </w:rPr>
        <w:t xml:space="preserve">Journal of General Internal Medicine, </w:t>
      </w:r>
      <w:r>
        <w:t>23(8), 1277-1280.</w:t>
      </w:r>
    </w:p>
    <w:p w:rsidR="004919FB" w:rsidRDefault="004919FB" w:rsidP="00B80E4F">
      <w:pPr>
        <w:autoSpaceDE w:val="0"/>
        <w:autoSpaceDN w:val="0"/>
        <w:adjustRightInd w:val="0"/>
        <w:spacing w:before="240"/>
        <w:ind w:left="720" w:hanging="720"/>
      </w:pPr>
      <w:r>
        <w:t xml:space="preserve">Gagnon, Marc-Andre and Joel Lexchin (2008), “The Cost of Pushing Pills: A New Estimate of Pharmaceutical Promotion Expenditures in the United States,” </w:t>
      </w:r>
      <w:r w:rsidRPr="00FE0909">
        <w:rPr>
          <w:i/>
        </w:rPr>
        <w:t>PLoS Med</w:t>
      </w:r>
      <w:r>
        <w:t>icine 5(1).</w:t>
      </w:r>
    </w:p>
    <w:p w:rsidR="00B80E4F" w:rsidRDefault="00B80E4F" w:rsidP="00B80E4F">
      <w:pPr>
        <w:autoSpaceDE w:val="0"/>
        <w:autoSpaceDN w:val="0"/>
        <w:adjustRightInd w:val="0"/>
        <w:spacing w:before="240"/>
        <w:ind w:left="720" w:hanging="720"/>
      </w:pPr>
      <w:r w:rsidRPr="00124959">
        <w:t xml:space="preserve">George, </w:t>
      </w:r>
      <w:r>
        <w:t xml:space="preserve">Elizabeth, Prithviraj </w:t>
      </w:r>
      <w:r w:rsidRPr="00124959">
        <w:t>Chattopadhaya,</w:t>
      </w:r>
      <w:r>
        <w:t xml:space="preserve"> Sim B. </w:t>
      </w:r>
      <w:r w:rsidRPr="00124959">
        <w:t xml:space="preserve">Sitkin, </w:t>
      </w:r>
      <w:r>
        <w:t>and Jeff</w:t>
      </w:r>
      <w:r w:rsidRPr="00124959">
        <w:t xml:space="preserve"> Barden</w:t>
      </w:r>
      <w:r>
        <w:t xml:space="preserve"> (</w:t>
      </w:r>
      <w:r w:rsidRPr="00124959">
        <w:t>2006</w:t>
      </w:r>
      <w:r>
        <w:t xml:space="preserve">), “Cognitive Underpinnings of Institutional Persistence and Change: A Framing Perspective,” </w:t>
      </w:r>
      <w:r w:rsidRPr="00124959">
        <w:rPr>
          <w:i/>
          <w:iCs/>
        </w:rPr>
        <w:t>Academy of Management Review</w:t>
      </w:r>
      <w:r>
        <w:t xml:space="preserve">, </w:t>
      </w:r>
      <w:r w:rsidRPr="00124959">
        <w:rPr>
          <w:i/>
          <w:iCs/>
        </w:rPr>
        <w:t>31</w:t>
      </w:r>
      <w:r>
        <w:rPr>
          <w:i/>
          <w:iCs/>
        </w:rPr>
        <w:t xml:space="preserve"> </w:t>
      </w:r>
      <w:r>
        <w:t>(2), 347-365.</w:t>
      </w:r>
    </w:p>
    <w:p w:rsidR="00B80E4F" w:rsidRPr="009F0356" w:rsidRDefault="00B80E4F" w:rsidP="00B80E4F">
      <w:pPr>
        <w:autoSpaceDE w:val="0"/>
        <w:autoSpaceDN w:val="0"/>
        <w:adjustRightInd w:val="0"/>
        <w:spacing w:before="240"/>
        <w:ind w:left="720" w:hanging="720"/>
      </w:pPr>
      <w:r w:rsidRPr="00E370E1">
        <w:t>Giddens, A</w:t>
      </w:r>
      <w:r>
        <w:t>nthony</w:t>
      </w:r>
      <w:r w:rsidRPr="00E370E1">
        <w:t xml:space="preserve"> (1990</w:t>
      </w:r>
      <w:r>
        <w:t xml:space="preserve">), </w:t>
      </w:r>
      <w:r w:rsidRPr="00E370E1">
        <w:rPr>
          <w:i/>
          <w:iCs/>
        </w:rPr>
        <w:t xml:space="preserve">The Consequences </w:t>
      </w:r>
      <w:r>
        <w:rPr>
          <w:i/>
          <w:iCs/>
        </w:rPr>
        <w:t>o</w:t>
      </w:r>
      <w:r w:rsidRPr="00E370E1">
        <w:rPr>
          <w:i/>
          <w:iCs/>
        </w:rPr>
        <w:t>f Modernity</w:t>
      </w:r>
      <w:r>
        <w:t>, Cambridge: Polity Press.</w:t>
      </w:r>
    </w:p>
    <w:p w:rsidR="008A516E" w:rsidRDefault="00B80E4F" w:rsidP="008A516E">
      <w:pPr>
        <w:autoSpaceDE w:val="0"/>
        <w:autoSpaceDN w:val="0"/>
        <w:adjustRightInd w:val="0"/>
        <w:spacing w:before="240"/>
        <w:ind w:left="720" w:hanging="720"/>
      </w:pPr>
      <w:r>
        <w:t xml:space="preserve">Gönül, Fusun, F., Franklin Carter, Elina Petrova and Kannan Srinivasan (2001), “Promotion </w:t>
      </w:r>
      <w:r w:rsidR="00E610C1">
        <w:t>o</w:t>
      </w:r>
      <w:r>
        <w:t xml:space="preserve">f Prescription Drugs And Its Impact On Physicians’ Choice Behavior,” </w:t>
      </w:r>
      <w:r>
        <w:rPr>
          <w:i/>
        </w:rPr>
        <w:t>Journal Of Marketing,</w:t>
      </w:r>
      <w:r>
        <w:t xml:space="preserve"> 65 (3), 79-90. </w:t>
      </w:r>
    </w:p>
    <w:p w:rsidR="008A516E" w:rsidRDefault="008A516E" w:rsidP="002B1DBD"/>
    <w:p w:rsidR="00F94433" w:rsidRDefault="009B6636" w:rsidP="00396FC8">
      <w:pPr>
        <w:spacing w:after="240"/>
        <w:ind w:left="720" w:hanging="720"/>
      </w:pPr>
      <w:r w:rsidRPr="009B6636">
        <w:lastRenderedPageBreak/>
        <w:t>Grande, David</w:t>
      </w:r>
      <w:r>
        <w:rPr>
          <w:b/>
        </w:rPr>
        <w:t xml:space="preserve"> </w:t>
      </w:r>
      <w:r w:rsidR="0022137C" w:rsidRPr="00FE0909">
        <w:t>(2007),</w:t>
      </w:r>
      <w:r>
        <w:rPr>
          <w:b/>
        </w:rPr>
        <w:t xml:space="preserve"> “</w:t>
      </w:r>
      <w:r w:rsidR="002B1DBD" w:rsidRPr="009B6636">
        <w:t>Prescriber Profiling: Time to Call It Quits</w:t>
      </w:r>
      <w:r w:rsidR="0022137C" w:rsidRPr="00FE0909">
        <w:t>,”</w:t>
      </w:r>
      <w:r>
        <w:rPr>
          <w:b/>
        </w:rPr>
        <w:t xml:space="preserve"> </w:t>
      </w:r>
      <w:r w:rsidRPr="009B6636">
        <w:rPr>
          <w:i/>
        </w:rPr>
        <w:t>Annals of Internal</w:t>
      </w:r>
      <w:r w:rsidR="00396FC8">
        <w:rPr>
          <w:i/>
        </w:rPr>
        <w:t xml:space="preserve"> </w:t>
      </w:r>
      <w:r w:rsidRPr="009B6636">
        <w:rPr>
          <w:i/>
        </w:rPr>
        <w:t xml:space="preserve"> Medicine, </w:t>
      </w:r>
      <w:r w:rsidRPr="009B6636">
        <w:t>146, 751-752.</w:t>
      </w:r>
    </w:p>
    <w:p w:rsidR="009B6636" w:rsidRDefault="009B6636" w:rsidP="00396FC8">
      <w:pPr>
        <w:spacing w:after="240"/>
        <w:ind w:left="720" w:hanging="720"/>
        <w:rPr>
          <w:kern w:val="0"/>
        </w:rPr>
      </w:pPr>
      <w:r w:rsidRPr="009B6636">
        <w:t>Greene, Jeremy (2007),</w:t>
      </w:r>
      <w:r>
        <w:rPr>
          <w:b/>
          <w:i/>
        </w:rPr>
        <w:t xml:space="preserve"> “</w:t>
      </w:r>
      <w:r w:rsidR="002B1DBD" w:rsidRPr="002B1DBD">
        <w:rPr>
          <w:kern w:val="0"/>
        </w:rPr>
        <w:t>Pharmaceutical Marketing Research and the Prescribing Physician</w:t>
      </w:r>
      <w:r>
        <w:rPr>
          <w:kern w:val="0"/>
        </w:rPr>
        <w:t xml:space="preserve">,” </w:t>
      </w:r>
      <w:r w:rsidR="00396FC8">
        <w:rPr>
          <w:kern w:val="0"/>
        </w:rPr>
        <w:t xml:space="preserve"> </w:t>
      </w:r>
      <w:r>
        <w:rPr>
          <w:i/>
          <w:kern w:val="0"/>
        </w:rPr>
        <w:t xml:space="preserve">Annals of Internal Medicine, </w:t>
      </w:r>
      <w:r>
        <w:rPr>
          <w:kern w:val="0"/>
        </w:rPr>
        <w:t>146, 742-748.</w:t>
      </w:r>
    </w:p>
    <w:p w:rsidR="00B80E4F" w:rsidRDefault="00B80E4F" w:rsidP="00B80E4F">
      <w:pPr>
        <w:autoSpaceDE w:val="0"/>
        <w:autoSpaceDN w:val="0"/>
        <w:adjustRightInd w:val="0"/>
        <w:spacing w:before="240"/>
        <w:ind w:left="720" w:hanging="720"/>
      </w:pPr>
      <w:r w:rsidRPr="00124959">
        <w:t>G</w:t>
      </w:r>
      <w:r w:rsidRPr="00217367">
        <w:t>rayson, K</w:t>
      </w:r>
      <w:r>
        <w:t>ent</w:t>
      </w:r>
      <w:r w:rsidRPr="00217367">
        <w:t xml:space="preserve">, </w:t>
      </w:r>
      <w:r>
        <w:t xml:space="preserve">Devon </w:t>
      </w:r>
      <w:r w:rsidRPr="00217367">
        <w:t xml:space="preserve">Johnson, </w:t>
      </w:r>
      <w:r>
        <w:t>and</w:t>
      </w:r>
      <w:r w:rsidRPr="00217367">
        <w:t xml:space="preserve"> </w:t>
      </w:r>
      <w:r>
        <w:t xml:space="preserve">Der-Fa Robert </w:t>
      </w:r>
      <w:r w:rsidRPr="00217367">
        <w:t>Chen (200</w:t>
      </w:r>
      <w:r>
        <w:t>8</w:t>
      </w:r>
      <w:r w:rsidRPr="00217367">
        <w:t>)</w:t>
      </w:r>
      <w:r>
        <w:t xml:space="preserve">, “Is Firm Trust Essential in a Trusted Environment? How Trust in the Business Context Influences Customers,” </w:t>
      </w:r>
      <w:r w:rsidRPr="00181279">
        <w:rPr>
          <w:i/>
          <w:iCs/>
        </w:rPr>
        <w:t>Journal of Marketing Research</w:t>
      </w:r>
      <w:r>
        <w:t>,</w:t>
      </w:r>
      <w:r w:rsidRPr="00AF55EB">
        <w:rPr>
          <w:rFonts w:ascii="Arial" w:hAnsi="Arial" w:cs="Arial"/>
        </w:rPr>
        <w:t xml:space="preserve"> </w:t>
      </w:r>
      <w:r w:rsidRPr="0051002C">
        <w:t>45 (April), 241-256.</w:t>
      </w:r>
    </w:p>
    <w:p w:rsidR="00B80E4F" w:rsidRDefault="00B80E4F" w:rsidP="00B80E4F">
      <w:pPr>
        <w:autoSpaceDE w:val="0"/>
        <w:autoSpaceDN w:val="0"/>
        <w:adjustRightInd w:val="0"/>
        <w:rPr>
          <w:kern w:val="0"/>
        </w:rPr>
      </w:pPr>
    </w:p>
    <w:p w:rsidR="00B80E4F" w:rsidRDefault="00B80E4F" w:rsidP="0022291A">
      <w:pPr>
        <w:autoSpaceDE w:val="0"/>
        <w:autoSpaceDN w:val="0"/>
        <w:adjustRightInd w:val="0"/>
        <w:outlineLvl w:val="0"/>
        <w:rPr>
          <w:kern w:val="0"/>
        </w:rPr>
      </w:pPr>
      <w:r>
        <w:rPr>
          <w:kern w:val="0"/>
        </w:rPr>
        <w:t>Grewal, Rajdeep and Ravi Dharwadkar (2002), “The Role of the Institutional Environment in</w:t>
      </w:r>
    </w:p>
    <w:p w:rsidR="00B80E4F" w:rsidRDefault="00B80E4F" w:rsidP="00B80E4F">
      <w:pPr>
        <w:autoSpaceDE w:val="0"/>
        <w:autoSpaceDN w:val="0"/>
        <w:adjustRightInd w:val="0"/>
        <w:ind w:firstLine="720"/>
        <w:rPr>
          <w:kern w:val="0"/>
        </w:rPr>
      </w:pPr>
      <w:r>
        <w:rPr>
          <w:kern w:val="0"/>
        </w:rPr>
        <w:t xml:space="preserve">Marketing Channels,” </w:t>
      </w:r>
      <w:r w:rsidRPr="0051002C">
        <w:rPr>
          <w:i/>
          <w:kern w:val="0"/>
        </w:rPr>
        <w:t>Journal of Marketing</w:t>
      </w:r>
      <w:r>
        <w:rPr>
          <w:kern w:val="0"/>
        </w:rPr>
        <w:t>, 66 (3), 82-97.</w:t>
      </w:r>
    </w:p>
    <w:p w:rsidR="00B80E4F" w:rsidRDefault="00B80E4F" w:rsidP="00B80E4F">
      <w:pPr>
        <w:autoSpaceDE w:val="0"/>
        <w:autoSpaceDN w:val="0"/>
        <w:adjustRightInd w:val="0"/>
        <w:spacing w:before="240"/>
        <w:ind w:left="720" w:hanging="720"/>
      </w:pPr>
      <w:r w:rsidRPr="00F253F6">
        <w:t>H</w:t>
      </w:r>
      <w:r>
        <w:t>ealth Committee</w:t>
      </w:r>
      <w:r w:rsidRPr="00F253F6">
        <w:t xml:space="preserve"> (2005)</w:t>
      </w:r>
      <w:r>
        <w:t>,</w:t>
      </w:r>
      <w:r w:rsidRPr="00F253F6">
        <w:t xml:space="preserve"> </w:t>
      </w:r>
      <w:r>
        <w:t>“</w:t>
      </w:r>
      <w:r w:rsidRPr="00F253F6">
        <w:t xml:space="preserve">The Influence </w:t>
      </w:r>
      <w:r>
        <w:t>o</w:t>
      </w:r>
      <w:r w:rsidRPr="00F253F6">
        <w:t xml:space="preserve">f </w:t>
      </w:r>
      <w:r>
        <w:t>t</w:t>
      </w:r>
      <w:r w:rsidRPr="00F253F6">
        <w:t>he Pharmaceutical Industry</w:t>
      </w:r>
      <w:r>
        <w:t>, (Accessed January, 31, 2007), [Available at publications.parliament.uk/pa/cm200</w:t>
      </w:r>
      <w:r w:rsidRPr="0029551E">
        <w:t>405/cmselect/cmhealth/42/42.pdf</w:t>
      </w:r>
      <w:r>
        <w:t>].</w:t>
      </w:r>
      <w:r w:rsidRPr="0029551E">
        <w:t xml:space="preserve"> </w:t>
      </w:r>
    </w:p>
    <w:p w:rsidR="00B80E4F" w:rsidRPr="0029551E" w:rsidRDefault="00B80E4F" w:rsidP="00B80E4F">
      <w:pPr>
        <w:autoSpaceDE w:val="0"/>
        <w:autoSpaceDN w:val="0"/>
        <w:adjustRightInd w:val="0"/>
        <w:spacing w:before="240"/>
        <w:ind w:left="720" w:hanging="720"/>
      </w:pPr>
      <w:r w:rsidRPr="0029551E">
        <w:t>Healy, D</w:t>
      </w:r>
      <w:r>
        <w:t>avid and</w:t>
      </w:r>
      <w:r w:rsidRPr="0029551E">
        <w:t xml:space="preserve"> </w:t>
      </w:r>
      <w:r>
        <w:t xml:space="preserve">Dinah </w:t>
      </w:r>
      <w:r w:rsidRPr="0029551E">
        <w:t>Cattell (2003)</w:t>
      </w:r>
      <w:r>
        <w:t>,</w:t>
      </w:r>
      <w:r w:rsidRPr="0029551E">
        <w:t xml:space="preserve"> </w:t>
      </w:r>
      <w:r>
        <w:t>“</w:t>
      </w:r>
      <w:r w:rsidRPr="0029551E">
        <w:t xml:space="preserve">Interface Between Authorship, Industry </w:t>
      </w:r>
      <w:r>
        <w:t>a</w:t>
      </w:r>
      <w:r w:rsidRPr="0029551E">
        <w:t xml:space="preserve">nd Science </w:t>
      </w:r>
      <w:r>
        <w:t>i</w:t>
      </w:r>
      <w:r w:rsidRPr="0029551E">
        <w:t xml:space="preserve">n </w:t>
      </w:r>
      <w:r>
        <w:t>t</w:t>
      </w:r>
      <w:r w:rsidRPr="0029551E">
        <w:t xml:space="preserve">he Domain </w:t>
      </w:r>
      <w:r>
        <w:t>o</w:t>
      </w:r>
      <w:r w:rsidRPr="0029551E">
        <w:t>f Therapeutics</w:t>
      </w:r>
      <w:r>
        <w:t>,”</w:t>
      </w:r>
      <w:r w:rsidRPr="0029551E">
        <w:t xml:space="preserve"> </w:t>
      </w:r>
      <w:r w:rsidRPr="00833D61">
        <w:rPr>
          <w:i/>
          <w:kern w:val="0"/>
        </w:rPr>
        <w:t>British Journal of Psychiatry</w:t>
      </w:r>
      <w:r w:rsidRPr="0029551E">
        <w:rPr>
          <w:kern w:val="0"/>
        </w:rPr>
        <w:t>, 183, 22 -27.</w:t>
      </w:r>
    </w:p>
    <w:p w:rsidR="00B80E4F" w:rsidRDefault="00B80E4F" w:rsidP="00B80E4F">
      <w:pPr>
        <w:spacing w:before="240"/>
        <w:ind w:left="720" w:hanging="720"/>
      </w:pPr>
      <w:r w:rsidRPr="009103B5">
        <w:t>Heide, J</w:t>
      </w:r>
      <w:r>
        <w:t xml:space="preserve">an </w:t>
      </w:r>
      <w:r w:rsidRPr="009103B5">
        <w:t xml:space="preserve">B. </w:t>
      </w:r>
      <w:r>
        <w:t>and</w:t>
      </w:r>
      <w:r w:rsidRPr="009103B5">
        <w:t xml:space="preserve"> </w:t>
      </w:r>
      <w:r>
        <w:t xml:space="preserve">Kenneth H. Wathne </w:t>
      </w:r>
      <w:r w:rsidRPr="009103B5">
        <w:t>(2006)</w:t>
      </w:r>
      <w:r>
        <w:t>,</w:t>
      </w:r>
      <w:r w:rsidRPr="009103B5">
        <w:t xml:space="preserve"> </w:t>
      </w:r>
      <w:r>
        <w:t xml:space="preserve">“Friends, Businesspeople, and Relationships Roles: A Conceptual Framework and a Research Agenda,” </w:t>
      </w:r>
      <w:r w:rsidRPr="00572311">
        <w:rPr>
          <w:i/>
        </w:rPr>
        <w:t>Journal of Marketing</w:t>
      </w:r>
      <w:r>
        <w:t xml:space="preserve">, </w:t>
      </w:r>
      <w:r w:rsidRPr="00053B6E">
        <w:rPr>
          <w:i/>
        </w:rPr>
        <w:t>70</w:t>
      </w:r>
      <w:r>
        <w:t>, 90-103.</w:t>
      </w:r>
    </w:p>
    <w:p w:rsidR="00F646A5" w:rsidRDefault="00F646A5" w:rsidP="00B80E4F">
      <w:pPr>
        <w:spacing w:before="240"/>
        <w:ind w:left="720" w:hanging="720"/>
        <w:rPr>
          <w:rStyle w:val="Emphasis"/>
          <w:i w:val="0"/>
        </w:rPr>
      </w:pPr>
      <w:r>
        <w:rPr>
          <w:rStyle w:val="Emphasis"/>
          <w:i w:val="0"/>
        </w:rPr>
        <w:t xml:space="preserve">Henry, David, Evan Doran, Ian Kerridge, Suzanne Hill, Paul M. McNeill, and Richard Day (2005), “Ties that Bind: Multiple Relationships Between Clinical Researchers and the Pharmaceutical Industry,” </w:t>
      </w:r>
      <w:r w:rsidR="0022137C" w:rsidRPr="00FE0909">
        <w:rPr>
          <w:rStyle w:val="Emphasis"/>
        </w:rPr>
        <w:t>Archives of Internal Medicine</w:t>
      </w:r>
      <w:r>
        <w:rPr>
          <w:rStyle w:val="Emphasis"/>
          <w:i w:val="0"/>
        </w:rPr>
        <w:t>, 165, 2493-2496.</w:t>
      </w:r>
    </w:p>
    <w:p w:rsidR="00B80E4F" w:rsidRDefault="00B80E4F" w:rsidP="00B80E4F">
      <w:pPr>
        <w:spacing w:before="240"/>
        <w:ind w:left="720" w:hanging="720"/>
        <w:rPr>
          <w:rStyle w:val="st"/>
          <w:b/>
          <w:bCs/>
        </w:rPr>
      </w:pPr>
      <w:r w:rsidRPr="0051002C">
        <w:rPr>
          <w:rStyle w:val="Emphasis"/>
          <w:i w:val="0"/>
        </w:rPr>
        <w:t>Heugens</w:t>
      </w:r>
      <w:r>
        <w:rPr>
          <w:rStyle w:val="st"/>
        </w:rPr>
        <w:t xml:space="preserve">, Pursey, M. and Michel W. </w:t>
      </w:r>
      <w:r w:rsidRPr="0051002C">
        <w:rPr>
          <w:rStyle w:val="Emphasis"/>
          <w:i w:val="0"/>
        </w:rPr>
        <w:t>Lander</w:t>
      </w:r>
      <w:r>
        <w:rPr>
          <w:rStyle w:val="st"/>
        </w:rPr>
        <w:t xml:space="preserve"> (2009), “Structure! Agency! (And Other Quarrels): Meta-Analyzing Institutional Theories of Organization,” </w:t>
      </w:r>
      <w:r w:rsidRPr="0051002C">
        <w:rPr>
          <w:rStyle w:val="medium-font"/>
          <w:i/>
        </w:rPr>
        <w:t>Academy of Management Journal</w:t>
      </w:r>
      <w:r>
        <w:rPr>
          <w:rStyle w:val="medium-font"/>
        </w:rPr>
        <w:t>, 52 (1), 61-85.</w:t>
      </w:r>
    </w:p>
    <w:p w:rsidR="00B80E4F" w:rsidRDefault="00B80E4F" w:rsidP="00B80E4F">
      <w:pPr>
        <w:spacing w:before="240"/>
        <w:ind w:left="720" w:hanging="720"/>
        <w:rPr>
          <w:kern w:val="0"/>
        </w:rPr>
      </w:pPr>
      <w:r w:rsidRPr="003B7060">
        <w:t>Heuvel</w:t>
      </w:r>
      <w:r>
        <w:t>, Katrina V.</w:t>
      </w:r>
      <w:r w:rsidRPr="003B7060">
        <w:t xml:space="preserve"> </w:t>
      </w:r>
      <w:r>
        <w:t>(</w:t>
      </w:r>
      <w:r w:rsidRPr="003B7060">
        <w:t>2007</w:t>
      </w:r>
      <w:r>
        <w:t>), “Big Pharma Outdoes Itself,” (Accessed February, 17, 2007), [Available at c</w:t>
      </w:r>
      <w:r>
        <w:rPr>
          <w:kern w:val="0"/>
        </w:rPr>
        <w:t>bsnews.com/stories/2007/02/06/opinion.html].</w:t>
      </w:r>
    </w:p>
    <w:p w:rsidR="00F646A5" w:rsidRDefault="00F646A5" w:rsidP="00B80E4F">
      <w:pPr>
        <w:autoSpaceDE w:val="0"/>
        <w:autoSpaceDN w:val="0"/>
        <w:adjustRightInd w:val="0"/>
        <w:spacing w:before="240"/>
        <w:ind w:left="720" w:hanging="720"/>
      </w:pPr>
      <w:r>
        <w:t>Hill, Kevin P., Joseph S. Ross, David S. Egilman, and Harlan M. Krumholz (2008), “The ADVANTAGE</w:t>
      </w:r>
      <w:r w:rsidR="005808E0">
        <w:t xml:space="preserve"> </w:t>
      </w:r>
      <w:r>
        <w:t xml:space="preserve">Seeding Trial: A Review of Internal Documents,” </w:t>
      </w:r>
      <w:r w:rsidR="00A305D5" w:rsidRPr="00A305D5">
        <w:rPr>
          <w:i/>
        </w:rPr>
        <w:t>Annals of Internal Medicine</w:t>
      </w:r>
      <w:r>
        <w:t>, 149, 251-258.</w:t>
      </w:r>
    </w:p>
    <w:p w:rsidR="00D91E95" w:rsidRDefault="00D91E95" w:rsidP="00B80E4F">
      <w:pPr>
        <w:autoSpaceDE w:val="0"/>
        <w:autoSpaceDN w:val="0"/>
        <w:adjustRightInd w:val="0"/>
        <w:spacing w:before="240"/>
        <w:ind w:left="720" w:hanging="720"/>
      </w:pPr>
      <w:r>
        <w:t xml:space="preserve">Insel, Thomas R. (2010), “Psychiatrists’ Relationships With Pharmaceutical Companies: Part of the Problem or Part of the Solution,” </w:t>
      </w:r>
      <w:r w:rsidRPr="00D076D2">
        <w:rPr>
          <w:i/>
          <w:iCs/>
          <w:kern w:val="0"/>
        </w:rPr>
        <w:t>Journal of</w:t>
      </w:r>
      <w:r w:rsidRPr="00D25A91">
        <w:rPr>
          <w:i/>
          <w:iCs/>
          <w:kern w:val="0"/>
        </w:rPr>
        <w:t xml:space="preserve"> the American Medical Association, </w:t>
      </w:r>
      <w:r>
        <w:rPr>
          <w:i/>
          <w:iCs/>
          <w:kern w:val="0"/>
        </w:rPr>
        <w:t>303 (12)</w:t>
      </w:r>
      <w:r w:rsidRPr="00D25A91">
        <w:rPr>
          <w:kern w:val="0"/>
        </w:rPr>
        <w:t xml:space="preserve">, </w:t>
      </w:r>
      <w:r>
        <w:rPr>
          <w:kern w:val="0"/>
        </w:rPr>
        <w:t xml:space="preserve">1192-1193. </w:t>
      </w:r>
    </w:p>
    <w:p w:rsidR="00D91E95" w:rsidRDefault="00D91E95" w:rsidP="00B80E4F">
      <w:pPr>
        <w:autoSpaceDE w:val="0"/>
        <w:autoSpaceDN w:val="0"/>
        <w:adjustRightInd w:val="0"/>
        <w:spacing w:before="240"/>
        <w:ind w:left="720" w:hanging="720"/>
      </w:pPr>
      <w:r>
        <w:t xml:space="preserve">Jampol, Lee m., Samuel Packer, Richard P. Mills, Susan H. Day, Paul R. Lichter (2009), “A perspective on Commercial Relationships Between Ophthalmology and Industry,” </w:t>
      </w:r>
      <w:r>
        <w:rPr>
          <w:i/>
        </w:rPr>
        <w:t xml:space="preserve">Archives of Ophthalmology, </w:t>
      </w:r>
      <w:r>
        <w:t xml:space="preserve">127 (9), 1194-1202. </w:t>
      </w:r>
    </w:p>
    <w:p w:rsidR="00B80E4F" w:rsidRDefault="00B80E4F" w:rsidP="00B80E4F">
      <w:pPr>
        <w:autoSpaceDE w:val="0"/>
        <w:autoSpaceDN w:val="0"/>
        <w:adjustRightInd w:val="0"/>
        <w:spacing w:before="240"/>
        <w:ind w:left="720" w:hanging="720"/>
      </w:pPr>
      <w:r w:rsidRPr="00747A85">
        <w:t>Katz, D</w:t>
      </w:r>
      <w:r>
        <w:t>aniel</w:t>
      </w:r>
      <w:r w:rsidRPr="00747A85">
        <w:t xml:space="preserve"> and </w:t>
      </w:r>
      <w:r>
        <w:t xml:space="preserve">Robert L. </w:t>
      </w:r>
      <w:r w:rsidRPr="00747A85">
        <w:t>Kahn (1966)</w:t>
      </w:r>
      <w:r>
        <w:t>,</w:t>
      </w:r>
      <w:r w:rsidRPr="00747A85">
        <w:t xml:space="preserve"> </w:t>
      </w:r>
      <w:r w:rsidRPr="00B91C33">
        <w:rPr>
          <w:i/>
          <w:iCs/>
        </w:rPr>
        <w:t xml:space="preserve">The Social Psychology </w:t>
      </w:r>
      <w:r>
        <w:rPr>
          <w:i/>
          <w:iCs/>
        </w:rPr>
        <w:t>o</w:t>
      </w:r>
      <w:r w:rsidRPr="00B91C33">
        <w:rPr>
          <w:i/>
          <w:iCs/>
        </w:rPr>
        <w:t>f Organizations</w:t>
      </w:r>
      <w:r>
        <w:rPr>
          <w:i/>
          <w:iCs/>
        </w:rPr>
        <w:t>.</w:t>
      </w:r>
      <w:r>
        <w:t xml:space="preserve"> New York: John Wiley and Sons.</w:t>
      </w:r>
    </w:p>
    <w:p w:rsidR="00904409" w:rsidRDefault="00904409" w:rsidP="00B80E4F">
      <w:pPr>
        <w:autoSpaceDE w:val="0"/>
        <w:autoSpaceDN w:val="0"/>
        <w:adjustRightInd w:val="0"/>
        <w:spacing w:before="240"/>
        <w:ind w:left="720" w:hanging="720"/>
        <w:rPr>
          <w:kern w:val="0"/>
        </w:rPr>
      </w:pPr>
      <w:r>
        <w:rPr>
          <w:kern w:val="0"/>
        </w:rPr>
        <w:t xml:space="preserve">Lampel, Joseph and Jamal Shamsie (2000), “Probing the Unobtrusive Link: Dominant Logic and the Design of Joint Ventures at General Electric,” </w:t>
      </w:r>
      <w:r w:rsidR="007910EE" w:rsidRPr="007910EE">
        <w:rPr>
          <w:i/>
          <w:kern w:val="0"/>
        </w:rPr>
        <w:t>Strategic Management Journal</w:t>
      </w:r>
      <w:r>
        <w:rPr>
          <w:kern w:val="0"/>
        </w:rPr>
        <w:t xml:space="preserve">, 21, 593-602. </w:t>
      </w:r>
    </w:p>
    <w:p w:rsidR="00B80E4F" w:rsidRDefault="00904409" w:rsidP="00B80E4F">
      <w:pPr>
        <w:autoSpaceDE w:val="0"/>
        <w:autoSpaceDN w:val="0"/>
        <w:adjustRightInd w:val="0"/>
        <w:spacing w:before="240"/>
        <w:ind w:left="720" w:hanging="720"/>
        <w:rPr>
          <w:kern w:val="0"/>
        </w:rPr>
      </w:pPr>
      <w:r>
        <w:rPr>
          <w:kern w:val="0"/>
        </w:rPr>
        <w:lastRenderedPageBreak/>
        <w:t xml:space="preserve"> </w:t>
      </w:r>
      <w:r w:rsidR="00B80E4F" w:rsidRPr="00F575A9">
        <w:rPr>
          <w:kern w:val="0"/>
        </w:rPr>
        <w:t>Lawrence, T</w:t>
      </w:r>
      <w:r w:rsidR="00B80E4F">
        <w:rPr>
          <w:kern w:val="0"/>
        </w:rPr>
        <w:t>homas</w:t>
      </w:r>
      <w:r w:rsidR="00B80E4F" w:rsidRPr="00F575A9">
        <w:rPr>
          <w:kern w:val="0"/>
        </w:rPr>
        <w:t xml:space="preserve"> B. and </w:t>
      </w:r>
      <w:r w:rsidR="00B80E4F">
        <w:rPr>
          <w:kern w:val="0"/>
        </w:rPr>
        <w:t xml:space="preserve">Roy </w:t>
      </w:r>
      <w:r w:rsidR="00B80E4F" w:rsidRPr="00F575A9">
        <w:rPr>
          <w:kern w:val="0"/>
        </w:rPr>
        <w:t>Suddaby (2006)</w:t>
      </w:r>
      <w:r w:rsidR="00B80E4F">
        <w:rPr>
          <w:kern w:val="0"/>
        </w:rPr>
        <w:t>,</w:t>
      </w:r>
      <w:r w:rsidR="00B80E4F" w:rsidRPr="00F575A9">
        <w:rPr>
          <w:kern w:val="0"/>
        </w:rPr>
        <w:t xml:space="preserve"> </w:t>
      </w:r>
      <w:r w:rsidR="00B80E4F">
        <w:rPr>
          <w:kern w:val="0"/>
        </w:rPr>
        <w:t>“</w:t>
      </w:r>
      <w:r w:rsidR="00B80E4F" w:rsidRPr="005E1135">
        <w:rPr>
          <w:kern w:val="0"/>
        </w:rPr>
        <w:t>Institutions and Institutional Work</w:t>
      </w:r>
      <w:r w:rsidR="00B80E4F">
        <w:rPr>
          <w:i/>
          <w:kern w:val="0"/>
        </w:rPr>
        <w:t>,”</w:t>
      </w:r>
      <w:r w:rsidR="00B80E4F" w:rsidRPr="00F575A9">
        <w:rPr>
          <w:kern w:val="0"/>
        </w:rPr>
        <w:t xml:space="preserve"> </w:t>
      </w:r>
      <w:r w:rsidR="00B80E4F">
        <w:rPr>
          <w:kern w:val="0"/>
        </w:rPr>
        <w:t>i</w:t>
      </w:r>
      <w:r w:rsidR="00B80E4F" w:rsidRPr="00F575A9">
        <w:rPr>
          <w:kern w:val="0"/>
        </w:rPr>
        <w:t>n Stuart,</w:t>
      </w:r>
      <w:r w:rsidR="00B80E4F">
        <w:rPr>
          <w:kern w:val="0"/>
        </w:rPr>
        <w:t xml:space="preserve"> R.</w:t>
      </w:r>
      <w:r w:rsidR="00B80E4F" w:rsidRPr="00F575A9">
        <w:rPr>
          <w:kern w:val="0"/>
        </w:rPr>
        <w:t xml:space="preserve"> Clegg, </w:t>
      </w:r>
      <w:r w:rsidR="00B80E4F">
        <w:rPr>
          <w:kern w:val="0"/>
        </w:rPr>
        <w:t xml:space="preserve">C. </w:t>
      </w:r>
      <w:r w:rsidR="00B80E4F" w:rsidRPr="00F575A9">
        <w:rPr>
          <w:kern w:val="0"/>
        </w:rPr>
        <w:t xml:space="preserve">Hardy, </w:t>
      </w:r>
      <w:r w:rsidR="00B80E4F">
        <w:rPr>
          <w:kern w:val="0"/>
        </w:rPr>
        <w:t xml:space="preserve">T. </w:t>
      </w:r>
      <w:r w:rsidR="00B80E4F" w:rsidRPr="00F575A9">
        <w:rPr>
          <w:kern w:val="0"/>
        </w:rPr>
        <w:t xml:space="preserve">Lawrence, </w:t>
      </w:r>
      <w:r w:rsidR="00B80E4F">
        <w:rPr>
          <w:kern w:val="0"/>
        </w:rPr>
        <w:t xml:space="preserve">T.B. and </w:t>
      </w:r>
      <w:r w:rsidR="00B80E4F" w:rsidRPr="00F575A9">
        <w:rPr>
          <w:kern w:val="0"/>
        </w:rPr>
        <w:t>Nord</w:t>
      </w:r>
      <w:r w:rsidR="00B80E4F">
        <w:rPr>
          <w:kern w:val="0"/>
        </w:rPr>
        <w:t>, W.R.</w:t>
      </w:r>
      <w:r w:rsidR="00B80E4F" w:rsidRPr="00F575A9">
        <w:rPr>
          <w:kern w:val="0"/>
        </w:rPr>
        <w:t xml:space="preserve"> </w:t>
      </w:r>
      <w:r w:rsidR="00B80E4F">
        <w:rPr>
          <w:kern w:val="0"/>
        </w:rPr>
        <w:t>eds.</w:t>
      </w:r>
      <w:r w:rsidR="00B80E4F" w:rsidRPr="00F575A9">
        <w:rPr>
          <w:kern w:val="0"/>
        </w:rPr>
        <w:t xml:space="preserve"> </w:t>
      </w:r>
      <w:r w:rsidR="00B80E4F" w:rsidRPr="00F575A9">
        <w:rPr>
          <w:i/>
          <w:iCs/>
          <w:kern w:val="0"/>
        </w:rPr>
        <w:t xml:space="preserve">The Sage </w:t>
      </w:r>
      <w:r w:rsidR="00656F8F">
        <w:rPr>
          <w:i/>
          <w:iCs/>
          <w:kern w:val="0"/>
        </w:rPr>
        <w:t>H</w:t>
      </w:r>
      <w:r w:rsidR="00B80E4F" w:rsidRPr="00F575A9">
        <w:rPr>
          <w:i/>
          <w:iCs/>
          <w:kern w:val="0"/>
        </w:rPr>
        <w:t xml:space="preserve">andbook of </w:t>
      </w:r>
      <w:r w:rsidR="00656F8F">
        <w:rPr>
          <w:i/>
          <w:iCs/>
          <w:kern w:val="0"/>
        </w:rPr>
        <w:t>O</w:t>
      </w:r>
      <w:r w:rsidR="00B80E4F" w:rsidRPr="00F575A9">
        <w:rPr>
          <w:i/>
          <w:iCs/>
          <w:kern w:val="0"/>
        </w:rPr>
        <w:t>rganization</w:t>
      </w:r>
      <w:r w:rsidR="00656F8F">
        <w:rPr>
          <w:i/>
          <w:iCs/>
          <w:kern w:val="0"/>
        </w:rPr>
        <w:t xml:space="preserve"> S</w:t>
      </w:r>
      <w:r w:rsidR="00B80E4F" w:rsidRPr="00F575A9">
        <w:rPr>
          <w:i/>
          <w:iCs/>
          <w:kern w:val="0"/>
        </w:rPr>
        <w:t>tudies</w:t>
      </w:r>
      <w:r w:rsidR="00B80E4F">
        <w:rPr>
          <w:i/>
          <w:iCs/>
          <w:kern w:val="0"/>
        </w:rPr>
        <w:t>,</w:t>
      </w:r>
      <w:r w:rsidR="00B80E4F" w:rsidRPr="00F575A9">
        <w:rPr>
          <w:i/>
          <w:iCs/>
          <w:kern w:val="0"/>
        </w:rPr>
        <w:t xml:space="preserve"> </w:t>
      </w:r>
      <w:r w:rsidR="00B80E4F" w:rsidRPr="00F575A9">
        <w:rPr>
          <w:kern w:val="0"/>
        </w:rPr>
        <w:t>London: Sage.</w:t>
      </w:r>
    </w:p>
    <w:p w:rsidR="00B80E4F" w:rsidRDefault="00B80E4F" w:rsidP="00B80E4F">
      <w:pPr>
        <w:spacing w:before="240"/>
        <w:ind w:left="720" w:hanging="720"/>
      </w:pPr>
      <w:r w:rsidRPr="00EC0B83">
        <w:t>Lewin</w:t>
      </w:r>
      <w:r>
        <w:t>, Arie Y.</w:t>
      </w:r>
      <w:r w:rsidRPr="00EC0B83">
        <w:t xml:space="preserve"> </w:t>
      </w:r>
      <w:r>
        <w:t>and</w:t>
      </w:r>
      <w:r w:rsidRPr="00EC0B83">
        <w:t xml:space="preserve"> </w:t>
      </w:r>
      <w:r>
        <w:t xml:space="preserve">Henk W. </w:t>
      </w:r>
      <w:r w:rsidRPr="00EC0B83">
        <w:t>Volberda</w:t>
      </w:r>
      <w:r>
        <w:t xml:space="preserve"> (</w:t>
      </w:r>
      <w:r w:rsidRPr="00EC0B83">
        <w:t>1999</w:t>
      </w:r>
      <w:r>
        <w:t xml:space="preserve">), “Prolegomena on Coevolution: A Framework for Research on Strategy and New Organizational Forms,” </w:t>
      </w:r>
      <w:r w:rsidRPr="00EC0B83">
        <w:rPr>
          <w:i/>
          <w:iCs/>
        </w:rPr>
        <w:t>Organization Science</w:t>
      </w:r>
      <w:r>
        <w:t xml:space="preserve">, </w:t>
      </w:r>
      <w:r w:rsidRPr="00EC0B83">
        <w:rPr>
          <w:i/>
          <w:iCs/>
        </w:rPr>
        <w:t>10</w:t>
      </w:r>
      <w:r>
        <w:rPr>
          <w:i/>
          <w:iCs/>
        </w:rPr>
        <w:t xml:space="preserve"> </w:t>
      </w:r>
      <w:r>
        <w:t>(5), 519-534.</w:t>
      </w:r>
    </w:p>
    <w:p w:rsidR="00042DD9" w:rsidRDefault="00042DD9" w:rsidP="0022291A">
      <w:pPr>
        <w:autoSpaceDE w:val="0"/>
        <w:autoSpaceDN w:val="0"/>
        <w:adjustRightInd w:val="0"/>
        <w:outlineLvl w:val="0"/>
        <w:rPr>
          <w:rFonts w:ascii="TimesNewRomanPSMT" w:hAnsi="TimesNewRomanPSMT" w:cs="TimesNewRomanPSMT"/>
          <w:kern w:val="0"/>
        </w:rPr>
      </w:pPr>
    </w:p>
    <w:p w:rsidR="00B80E4F" w:rsidRDefault="00B80E4F" w:rsidP="0022291A">
      <w:pPr>
        <w:autoSpaceDE w:val="0"/>
        <w:autoSpaceDN w:val="0"/>
        <w:adjustRightInd w:val="0"/>
        <w:outlineLvl w:val="0"/>
        <w:rPr>
          <w:rFonts w:ascii="TimesNewRomanPSMT" w:hAnsi="TimesNewRomanPSMT" w:cs="TimesNewRomanPSMT"/>
          <w:kern w:val="0"/>
        </w:rPr>
      </w:pPr>
      <w:r>
        <w:rPr>
          <w:rFonts w:ascii="TimesNewRomanPSMT" w:hAnsi="TimesNewRomanPSMT" w:cs="TimesNewRomanPSMT"/>
          <w:kern w:val="0"/>
        </w:rPr>
        <w:t>McFarland, Richard G., James M. Bloodgood, and Janice M. Payan (2008), “Supply Chain</w:t>
      </w:r>
    </w:p>
    <w:p w:rsidR="00B80E4F" w:rsidRDefault="00B80E4F" w:rsidP="00B80E4F">
      <w:pPr>
        <w:autoSpaceDE w:val="0"/>
        <w:autoSpaceDN w:val="0"/>
        <w:adjustRightInd w:val="0"/>
        <w:ind w:firstLine="720"/>
        <w:rPr>
          <w:rFonts w:ascii="TimesNewRomanPSMT" w:hAnsi="TimesNewRomanPSMT" w:cs="TimesNewRomanPSMT"/>
          <w:kern w:val="0"/>
        </w:rPr>
      </w:pPr>
      <w:r>
        <w:rPr>
          <w:rFonts w:ascii="TimesNewRomanPSMT" w:hAnsi="TimesNewRomanPSMT" w:cs="TimesNewRomanPSMT"/>
          <w:kern w:val="0"/>
        </w:rPr>
        <w:t xml:space="preserve">Contagion,” </w:t>
      </w:r>
      <w:r>
        <w:rPr>
          <w:i/>
          <w:iCs/>
          <w:kern w:val="0"/>
        </w:rPr>
        <w:t>Journal of Marketing</w:t>
      </w:r>
      <w:r>
        <w:rPr>
          <w:rFonts w:ascii="TimesNewRomanPSMT" w:hAnsi="TimesNewRomanPSMT" w:cs="TimesNewRomanPSMT"/>
          <w:kern w:val="0"/>
        </w:rPr>
        <w:t>, 72 (March), 63-79.</w:t>
      </w:r>
    </w:p>
    <w:p w:rsidR="00B80E4F" w:rsidRDefault="00B80E4F" w:rsidP="00B80E4F">
      <w:pPr>
        <w:spacing w:before="240"/>
        <w:ind w:left="720" w:hanging="720"/>
      </w:pPr>
      <w:r w:rsidRPr="00CC4D55">
        <w:t>Manchanda</w:t>
      </w:r>
      <w:r>
        <w:t>, Puneet</w:t>
      </w:r>
      <w:r w:rsidRPr="00CC4D55">
        <w:t xml:space="preserve"> </w:t>
      </w:r>
      <w:r>
        <w:t>and</w:t>
      </w:r>
      <w:r w:rsidRPr="00CC4D55">
        <w:t xml:space="preserve"> </w:t>
      </w:r>
      <w:r>
        <w:t xml:space="preserve">Pradeep K. </w:t>
      </w:r>
      <w:r w:rsidRPr="00CC4D55">
        <w:t>Chintagunta</w:t>
      </w:r>
      <w:r>
        <w:t xml:space="preserve"> (</w:t>
      </w:r>
      <w:r w:rsidRPr="00CC4D55">
        <w:t>2004</w:t>
      </w:r>
      <w:r>
        <w:t xml:space="preserve">), “Responsiveness of Physician Prescription Behavior to Sales Force Effort: An Individual Level Analysis,” </w:t>
      </w:r>
      <w:r w:rsidRPr="00CC4D55">
        <w:rPr>
          <w:i/>
          <w:iCs/>
        </w:rPr>
        <w:t>Marketing Letters</w:t>
      </w:r>
      <w:r>
        <w:rPr>
          <w:i/>
          <w:iCs/>
        </w:rPr>
        <w:t>,</w:t>
      </w:r>
      <w:r>
        <w:t xml:space="preserve"> </w:t>
      </w:r>
      <w:r w:rsidRPr="002D246C">
        <w:rPr>
          <w:i/>
          <w:iCs/>
        </w:rPr>
        <w:t>15</w:t>
      </w:r>
      <w:r>
        <w:rPr>
          <w:i/>
          <w:iCs/>
        </w:rPr>
        <w:t xml:space="preserve"> </w:t>
      </w:r>
      <w:r>
        <w:t>(2-3), 129-145.</w:t>
      </w:r>
    </w:p>
    <w:p w:rsidR="00B80E4F" w:rsidRDefault="00B80E4F" w:rsidP="00B80E4F">
      <w:pPr>
        <w:spacing w:before="240"/>
        <w:ind w:left="720" w:hanging="720"/>
      </w:pPr>
      <w:r>
        <w:t>_________ and</w:t>
      </w:r>
      <w:r w:rsidRPr="00012C8D">
        <w:t xml:space="preserve"> </w:t>
      </w:r>
      <w:r>
        <w:t xml:space="preserve">Elisabeth </w:t>
      </w:r>
      <w:r w:rsidRPr="00012C8D">
        <w:t xml:space="preserve">Honka </w:t>
      </w:r>
      <w:r>
        <w:t>(</w:t>
      </w:r>
      <w:r w:rsidRPr="00012C8D">
        <w:t>2005</w:t>
      </w:r>
      <w:r>
        <w:t xml:space="preserve">), “The Effects and Role of Direct-To-Physician Marketing in The Pharmaceutical Industry: An Integrative Review,” </w:t>
      </w:r>
      <w:r w:rsidRPr="00012C8D">
        <w:rPr>
          <w:i/>
          <w:iCs/>
        </w:rPr>
        <w:t>Yale Journal of Health Policy, Law, and Ethics</w:t>
      </w:r>
      <w:r>
        <w:t xml:space="preserve">, </w:t>
      </w:r>
      <w:r w:rsidRPr="00012C8D">
        <w:rPr>
          <w:i/>
          <w:iCs/>
        </w:rPr>
        <w:t>5</w:t>
      </w:r>
      <w:r>
        <w:rPr>
          <w:i/>
          <w:iCs/>
        </w:rPr>
        <w:t xml:space="preserve"> </w:t>
      </w:r>
      <w:r>
        <w:t>(2), 785-822.</w:t>
      </w:r>
    </w:p>
    <w:p w:rsidR="00B80E4F" w:rsidRDefault="00B80E4F" w:rsidP="00B80E4F">
      <w:pPr>
        <w:spacing w:before="240"/>
        <w:ind w:left="720" w:hanging="720"/>
      </w:pPr>
      <w:r>
        <w:t xml:space="preserve">March, James G. (1996), “Continuity and Change in Theories </w:t>
      </w:r>
      <w:r w:rsidR="00E610C1">
        <w:t>o</w:t>
      </w:r>
      <w:r>
        <w:t xml:space="preserve">f Organizational Action,” </w:t>
      </w:r>
      <w:r>
        <w:rPr>
          <w:i/>
          <w:iCs/>
          <w:kern w:val="0"/>
        </w:rPr>
        <w:t>Administrative Science Quarterly</w:t>
      </w:r>
      <w:r>
        <w:rPr>
          <w:kern w:val="0"/>
        </w:rPr>
        <w:t xml:space="preserve">, </w:t>
      </w:r>
      <w:r w:rsidRPr="00053B6E">
        <w:rPr>
          <w:i/>
          <w:iCs/>
          <w:kern w:val="0"/>
        </w:rPr>
        <w:t>41</w:t>
      </w:r>
      <w:r>
        <w:rPr>
          <w:i/>
          <w:iCs/>
          <w:kern w:val="0"/>
        </w:rPr>
        <w:t xml:space="preserve"> </w:t>
      </w:r>
      <w:r>
        <w:rPr>
          <w:kern w:val="0"/>
        </w:rPr>
        <w:t>(2), 278-287.</w:t>
      </w:r>
    </w:p>
    <w:p w:rsidR="00B80E4F" w:rsidRDefault="00B80E4F" w:rsidP="00B80E4F">
      <w:pPr>
        <w:spacing w:before="240"/>
        <w:ind w:left="720" w:hanging="720"/>
      </w:pPr>
      <w:r>
        <w:t>__________ and</w:t>
      </w:r>
      <w:r w:rsidRPr="00C91FF3">
        <w:t xml:space="preserve"> </w:t>
      </w:r>
      <w:r>
        <w:t xml:space="preserve">Johan P. </w:t>
      </w:r>
      <w:r w:rsidRPr="00C91FF3">
        <w:t xml:space="preserve">Olsen </w:t>
      </w:r>
      <w:r>
        <w:t>(</w:t>
      </w:r>
      <w:r w:rsidRPr="00C91FF3">
        <w:t>1998</w:t>
      </w:r>
      <w:r>
        <w:t xml:space="preserve">), “The Institutional Dynamics of International Political Orders,” </w:t>
      </w:r>
      <w:r w:rsidRPr="002D246C">
        <w:rPr>
          <w:i/>
          <w:iCs/>
        </w:rPr>
        <w:t>International Organization</w:t>
      </w:r>
      <w:r>
        <w:t xml:space="preserve">, </w:t>
      </w:r>
      <w:r w:rsidRPr="002D246C">
        <w:rPr>
          <w:i/>
          <w:iCs/>
        </w:rPr>
        <w:t>52</w:t>
      </w:r>
      <w:r>
        <w:rPr>
          <w:i/>
          <w:iCs/>
        </w:rPr>
        <w:t xml:space="preserve"> </w:t>
      </w:r>
      <w:r>
        <w:t xml:space="preserve">(4), </w:t>
      </w:r>
      <w:r>
        <w:rPr>
          <w:kern w:val="0"/>
        </w:rPr>
        <w:t>943-969.</w:t>
      </w:r>
    </w:p>
    <w:p w:rsidR="00B80E4F" w:rsidRDefault="00B80E4F" w:rsidP="00B80E4F">
      <w:pPr>
        <w:spacing w:before="240"/>
        <w:ind w:left="720" w:hanging="720"/>
      </w:pPr>
      <w:r w:rsidRPr="008C37F4">
        <w:t>Mathews, A</w:t>
      </w:r>
      <w:r>
        <w:t>nna</w:t>
      </w:r>
      <w:r w:rsidRPr="008C37F4">
        <w:t xml:space="preserve"> W</w:t>
      </w:r>
      <w:r>
        <w:t>ilde</w:t>
      </w:r>
      <w:r w:rsidRPr="008C37F4">
        <w:t xml:space="preserve"> (2005)</w:t>
      </w:r>
      <w:r>
        <w:t>,</w:t>
      </w:r>
      <w:r w:rsidRPr="008C37F4">
        <w:t xml:space="preserve"> </w:t>
      </w:r>
      <w:r>
        <w:t xml:space="preserve">“At Medical Journals, Writers Paid by Industry Play Big Role,” (Accessed October 1, 2006), [Available at </w:t>
      </w:r>
      <w:r w:rsidRPr="005E1F85">
        <w:t>globalaging.org/health/us/2005/ghostwriters.htm</w:t>
      </w:r>
      <w:r w:rsidRPr="00A759ED">
        <w:t>.</w:t>
      </w:r>
      <w:r>
        <w:t>].</w:t>
      </w:r>
    </w:p>
    <w:p w:rsidR="00202C7D" w:rsidRDefault="00202C7D" w:rsidP="00B80E4F">
      <w:pPr>
        <w:spacing w:before="240"/>
        <w:ind w:left="720" w:hanging="720"/>
      </w:pPr>
      <w:r>
        <w:t xml:space="preserve">Mello, Michelle M. and Noah A. Messing (2011), “Restrictions on the Use of Prescribing Data for Drug Promotion,” </w:t>
      </w:r>
      <w:r w:rsidR="0022137C" w:rsidRPr="00FE0909">
        <w:rPr>
          <w:i/>
        </w:rPr>
        <w:t>The New England Journal of Medicine</w:t>
      </w:r>
      <w:r>
        <w:t xml:space="preserve">, 365 (13), 1248-1254. </w:t>
      </w:r>
    </w:p>
    <w:p w:rsidR="00B80E4F" w:rsidRDefault="00B80E4F" w:rsidP="00B80E4F">
      <w:pPr>
        <w:spacing w:before="240"/>
        <w:ind w:left="720" w:hanging="720"/>
      </w:pPr>
      <w:r w:rsidRPr="00D364B0">
        <w:t>Mizik, N</w:t>
      </w:r>
      <w:r>
        <w:t>atalie</w:t>
      </w:r>
      <w:r w:rsidRPr="00D364B0">
        <w:t xml:space="preserve"> </w:t>
      </w:r>
      <w:r>
        <w:t>and</w:t>
      </w:r>
      <w:r w:rsidRPr="00D364B0">
        <w:t xml:space="preserve"> </w:t>
      </w:r>
      <w:r>
        <w:t xml:space="preserve">Robert </w:t>
      </w:r>
      <w:r w:rsidRPr="00D364B0">
        <w:t>Jacobson (2004)</w:t>
      </w:r>
      <w:r>
        <w:t>,</w:t>
      </w:r>
      <w:r w:rsidRPr="00D364B0">
        <w:t xml:space="preserve"> </w:t>
      </w:r>
      <w:r>
        <w:t>“</w:t>
      </w:r>
      <w:r w:rsidRPr="00D364B0">
        <w:t>Are Physic</w:t>
      </w:r>
      <w:r w:rsidR="00E610C1">
        <w:t>ians “Easy Marks”? Quantifying t</w:t>
      </w:r>
      <w:r w:rsidRPr="00D364B0">
        <w:t xml:space="preserve">he Effects </w:t>
      </w:r>
      <w:r>
        <w:t>o</w:t>
      </w:r>
      <w:r w:rsidRPr="00D364B0">
        <w:t>f Detailing</w:t>
      </w:r>
      <w:r>
        <w:t xml:space="preserve"> a</w:t>
      </w:r>
      <w:r w:rsidRPr="00D364B0">
        <w:t xml:space="preserve">nd Sampling </w:t>
      </w:r>
      <w:r>
        <w:t>o</w:t>
      </w:r>
      <w:r w:rsidRPr="00D364B0">
        <w:t>n New Prescriptions</w:t>
      </w:r>
      <w:r>
        <w:t>,”</w:t>
      </w:r>
      <w:r w:rsidRPr="00D364B0">
        <w:t xml:space="preserve"> </w:t>
      </w:r>
      <w:r w:rsidRPr="00835535">
        <w:rPr>
          <w:i/>
          <w:iCs/>
        </w:rPr>
        <w:t>Management Science</w:t>
      </w:r>
      <w:r w:rsidRPr="00D364B0">
        <w:t xml:space="preserve">, </w:t>
      </w:r>
      <w:r w:rsidRPr="002D246C">
        <w:rPr>
          <w:i/>
          <w:iCs/>
        </w:rPr>
        <w:t>50</w:t>
      </w:r>
      <w:r>
        <w:rPr>
          <w:i/>
          <w:iCs/>
        </w:rPr>
        <w:t xml:space="preserve"> </w:t>
      </w:r>
      <w:r w:rsidRPr="00D364B0">
        <w:t>(12), 1704-1715.</w:t>
      </w:r>
      <w:r>
        <w:t xml:space="preserve"> </w:t>
      </w:r>
    </w:p>
    <w:p w:rsidR="00042DD9" w:rsidRDefault="00042DD9" w:rsidP="00FE0909">
      <w:pPr>
        <w:pStyle w:val="NoSpacing"/>
      </w:pPr>
    </w:p>
    <w:p w:rsidR="00F94433" w:rsidRDefault="00B80E4F" w:rsidP="00FE0909">
      <w:pPr>
        <w:pStyle w:val="NoSpacing"/>
      </w:pPr>
      <w:r w:rsidRPr="002B4C79">
        <w:t>Moore, D</w:t>
      </w:r>
      <w:r>
        <w:t>on</w:t>
      </w:r>
      <w:r w:rsidRPr="002B4C79">
        <w:t xml:space="preserve"> A.</w:t>
      </w:r>
      <w:r w:rsidR="00904409">
        <w:t>,</w:t>
      </w:r>
      <w:r w:rsidRPr="002B4C79">
        <w:t xml:space="preserve"> </w:t>
      </w:r>
      <w:r>
        <w:t xml:space="preserve">Philip E. </w:t>
      </w:r>
      <w:r w:rsidRPr="002B4C79">
        <w:t xml:space="preserve">Tetlock, </w:t>
      </w:r>
      <w:r>
        <w:t xml:space="preserve">Lloyd </w:t>
      </w:r>
      <w:r w:rsidRPr="002B4C79">
        <w:t xml:space="preserve">Tanlu, </w:t>
      </w:r>
      <w:r>
        <w:t>and</w:t>
      </w:r>
      <w:r w:rsidRPr="002B4C79">
        <w:t xml:space="preserve"> </w:t>
      </w:r>
      <w:r>
        <w:t xml:space="preserve">Max H. </w:t>
      </w:r>
      <w:r w:rsidRPr="002B4C79">
        <w:t>Bazerman (2006)</w:t>
      </w:r>
      <w:r>
        <w:t>, “Conflicts of</w:t>
      </w:r>
    </w:p>
    <w:p w:rsidR="00F94433" w:rsidRDefault="00B80E4F" w:rsidP="00FE0909">
      <w:pPr>
        <w:pStyle w:val="NoSpacing"/>
        <w:ind w:left="720" w:firstLine="48"/>
      </w:pPr>
      <w:r>
        <w:t xml:space="preserve">Interest and the Case of Auditor Independence: Moral Seduction and Strategic Issue Cycling,” </w:t>
      </w:r>
      <w:r>
        <w:rPr>
          <w:i/>
          <w:iCs/>
        </w:rPr>
        <w:t xml:space="preserve">Academy of </w:t>
      </w:r>
      <w:r w:rsidRPr="00D25A91">
        <w:rPr>
          <w:i/>
          <w:iCs/>
        </w:rPr>
        <w:t>Management Review, 31</w:t>
      </w:r>
      <w:r w:rsidRPr="00D25A91">
        <w:t>(1), 10-29.</w:t>
      </w:r>
    </w:p>
    <w:p w:rsidR="00F94433" w:rsidRDefault="00F94433" w:rsidP="00FE0909"/>
    <w:p w:rsidR="00F94433" w:rsidRDefault="00A305D5" w:rsidP="00FE0909">
      <w:r>
        <w:rPr>
          <w:rStyle w:val="name"/>
        </w:rPr>
        <w:t>Moncrieff</w:t>
      </w:r>
      <w:r>
        <w:rPr>
          <w:rStyle w:val="contrib-role"/>
        </w:rPr>
        <w:t xml:space="preserve">, Joanna, </w:t>
      </w:r>
      <w:r>
        <w:rPr>
          <w:rStyle w:val="name"/>
        </w:rPr>
        <w:t>Steve Hopker</w:t>
      </w:r>
      <w:r>
        <w:rPr>
          <w:rStyle w:val="contrib-role"/>
        </w:rPr>
        <w:t xml:space="preserve">, and </w:t>
      </w:r>
      <w:r>
        <w:rPr>
          <w:rStyle w:val="name"/>
        </w:rPr>
        <w:t>Philip Thomas (2005)</w:t>
      </w:r>
      <w:r>
        <w:rPr>
          <w:rStyle w:val="contrib-role"/>
        </w:rPr>
        <w:t>,</w:t>
      </w:r>
      <w:r w:rsidR="006406FF">
        <w:rPr>
          <w:rStyle w:val="contrib-role"/>
        </w:rPr>
        <w:t xml:space="preserve"> “</w:t>
      </w:r>
      <w:r w:rsidR="006406FF" w:rsidRPr="006406FF">
        <w:t>Psychiatry and th</w:t>
      </w:r>
      <w:r w:rsidR="006406FF">
        <w:t>e</w:t>
      </w:r>
      <w:r w:rsidR="006406FF" w:rsidRPr="006406FF">
        <w:t xml:space="preserve"> </w:t>
      </w:r>
    </w:p>
    <w:p w:rsidR="00F94433" w:rsidRDefault="006406FF" w:rsidP="00FE0909">
      <w:pPr>
        <w:pStyle w:val="NoSpacing"/>
        <w:ind w:left="720"/>
        <w:rPr>
          <w:rStyle w:val="slug-pages"/>
        </w:rPr>
      </w:pPr>
      <w:r>
        <w:t>P</w:t>
      </w:r>
      <w:r w:rsidRPr="006406FF">
        <w:t>harmaceutical industry: who pays the piper?</w:t>
      </w:r>
      <w:r>
        <w:t xml:space="preserve"> </w:t>
      </w:r>
      <w:r w:rsidRPr="006406FF">
        <w:t xml:space="preserve">A </w:t>
      </w:r>
      <w:r>
        <w:t>P</w:t>
      </w:r>
      <w:r w:rsidRPr="006406FF">
        <w:t>erspective from the Critical Psychiatry Network</w:t>
      </w:r>
      <w:r>
        <w:t xml:space="preserve">,” </w:t>
      </w:r>
      <w:r w:rsidR="0022137C" w:rsidRPr="00FE0909">
        <w:rPr>
          <w:i/>
        </w:rPr>
        <w:t>The Psychiatrist</w:t>
      </w:r>
      <w:r>
        <w:t>,</w:t>
      </w:r>
      <w:r w:rsidR="00A305D5">
        <w:rPr>
          <w:rStyle w:val="slug-pub-date"/>
          <w:i/>
          <w:iCs/>
        </w:rPr>
        <w:t xml:space="preserve"> </w:t>
      </w:r>
      <w:r w:rsidR="0022137C" w:rsidRPr="00FE0909">
        <w:rPr>
          <w:rStyle w:val="slug-vol"/>
          <w:iCs/>
        </w:rPr>
        <w:t>29,</w:t>
      </w:r>
      <w:r w:rsidR="00A305D5">
        <w:rPr>
          <w:rStyle w:val="slug-vol"/>
          <w:i/>
          <w:iCs/>
        </w:rPr>
        <w:t xml:space="preserve"> </w:t>
      </w:r>
      <w:r w:rsidR="0022137C" w:rsidRPr="00FE0909">
        <w:rPr>
          <w:rStyle w:val="slug-pages"/>
          <w:iCs/>
        </w:rPr>
        <w:t>84-85.</w:t>
      </w:r>
    </w:p>
    <w:p w:rsidR="00B80E4F" w:rsidRPr="00D25A91" w:rsidRDefault="00B80E4F" w:rsidP="00B80E4F">
      <w:pPr>
        <w:autoSpaceDE w:val="0"/>
        <w:autoSpaceDN w:val="0"/>
        <w:adjustRightInd w:val="0"/>
        <w:spacing w:before="240"/>
        <w:ind w:left="720" w:hanging="720"/>
        <w:rPr>
          <w:kern w:val="0"/>
        </w:rPr>
      </w:pPr>
      <w:r w:rsidRPr="00D25A91">
        <w:rPr>
          <w:kern w:val="0"/>
        </w:rPr>
        <w:t>Mowatt, G</w:t>
      </w:r>
      <w:r>
        <w:rPr>
          <w:kern w:val="0"/>
        </w:rPr>
        <w:t>raham</w:t>
      </w:r>
      <w:r w:rsidRPr="00D25A91">
        <w:rPr>
          <w:kern w:val="0"/>
        </w:rPr>
        <w:t xml:space="preserve">, </w:t>
      </w:r>
      <w:r>
        <w:rPr>
          <w:kern w:val="0"/>
        </w:rPr>
        <w:t xml:space="preserve">Liz </w:t>
      </w:r>
      <w:r w:rsidRPr="00D25A91">
        <w:rPr>
          <w:kern w:val="0"/>
        </w:rPr>
        <w:t xml:space="preserve">Shirran, </w:t>
      </w:r>
      <w:r>
        <w:rPr>
          <w:kern w:val="0"/>
        </w:rPr>
        <w:t xml:space="preserve">Jeremy M. </w:t>
      </w:r>
      <w:r w:rsidRPr="00D25A91">
        <w:rPr>
          <w:kern w:val="0"/>
        </w:rPr>
        <w:t>Grimshaw</w:t>
      </w:r>
      <w:r w:rsidRPr="00D076D2">
        <w:rPr>
          <w:kern w:val="0"/>
        </w:rPr>
        <w:t xml:space="preserve">, </w:t>
      </w:r>
      <w:r>
        <w:rPr>
          <w:kern w:val="0"/>
        </w:rPr>
        <w:t xml:space="preserve">Drummond </w:t>
      </w:r>
      <w:r w:rsidRPr="00D076D2">
        <w:rPr>
          <w:kern w:val="0"/>
        </w:rPr>
        <w:t xml:space="preserve">Rennie, </w:t>
      </w:r>
      <w:r>
        <w:rPr>
          <w:kern w:val="0"/>
        </w:rPr>
        <w:t xml:space="preserve">Annette </w:t>
      </w:r>
      <w:r w:rsidRPr="00D076D2">
        <w:rPr>
          <w:kern w:val="0"/>
        </w:rPr>
        <w:t xml:space="preserve">Flanagin, </w:t>
      </w:r>
      <w:r>
        <w:t xml:space="preserve">Veronica </w:t>
      </w:r>
      <w:r w:rsidRPr="005E1F85">
        <w:t xml:space="preserve">Yank, </w:t>
      </w:r>
      <w:r>
        <w:t xml:space="preserve">Graeme </w:t>
      </w:r>
      <w:r w:rsidRPr="005E1F85">
        <w:t xml:space="preserve">MacLennan, </w:t>
      </w:r>
      <w:r>
        <w:t xml:space="preserve">Peter C. </w:t>
      </w:r>
      <w:r w:rsidRPr="005E1F85">
        <w:t xml:space="preserve">Gøtzsche, </w:t>
      </w:r>
      <w:r>
        <w:t>and</w:t>
      </w:r>
      <w:r w:rsidRPr="005E1F85">
        <w:t xml:space="preserve"> </w:t>
      </w:r>
      <w:r>
        <w:t xml:space="preserve">Lisa A. </w:t>
      </w:r>
      <w:r w:rsidRPr="005E1F85">
        <w:t xml:space="preserve">Bero </w:t>
      </w:r>
      <w:r w:rsidRPr="00D076D2">
        <w:rPr>
          <w:kern w:val="0"/>
        </w:rPr>
        <w:t>(2002)</w:t>
      </w:r>
      <w:r>
        <w:rPr>
          <w:kern w:val="0"/>
        </w:rPr>
        <w:t>,</w:t>
      </w:r>
      <w:r w:rsidRPr="00D076D2">
        <w:rPr>
          <w:kern w:val="0"/>
        </w:rPr>
        <w:t xml:space="preserve"> </w:t>
      </w:r>
      <w:r>
        <w:rPr>
          <w:kern w:val="0"/>
        </w:rPr>
        <w:t>“</w:t>
      </w:r>
      <w:r w:rsidRPr="00D076D2">
        <w:rPr>
          <w:kern w:val="0"/>
        </w:rPr>
        <w:t xml:space="preserve">Prevalence Of Honorary </w:t>
      </w:r>
      <w:r>
        <w:rPr>
          <w:kern w:val="0"/>
        </w:rPr>
        <w:t>a</w:t>
      </w:r>
      <w:r w:rsidRPr="00D076D2">
        <w:rPr>
          <w:kern w:val="0"/>
        </w:rPr>
        <w:t>nd Ghost Author</w:t>
      </w:r>
      <w:r>
        <w:rPr>
          <w:kern w:val="0"/>
        </w:rPr>
        <w:t>ship in C</w:t>
      </w:r>
      <w:r w:rsidRPr="00D076D2">
        <w:rPr>
          <w:kern w:val="0"/>
        </w:rPr>
        <w:t>ochrane Reviews</w:t>
      </w:r>
      <w:r>
        <w:rPr>
          <w:kern w:val="0"/>
        </w:rPr>
        <w:t>,”</w:t>
      </w:r>
      <w:r w:rsidRPr="00D076D2">
        <w:rPr>
          <w:kern w:val="0"/>
        </w:rPr>
        <w:t xml:space="preserve"> </w:t>
      </w:r>
      <w:r w:rsidRPr="00D076D2">
        <w:rPr>
          <w:i/>
          <w:iCs/>
          <w:kern w:val="0"/>
        </w:rPr>
        <w:t>Journal of</w:t>
      </w:r>
      <w:r w:rsidRPr="00D25A91">
        <w:rPr>
          <w:i/>
          <w:iCs/>
          <w:kern w:val="0"/>
        </w:rPr>
        <w:t xml:space="preserve"> the American Medical Association, </w:t>
      </w:r>
      <w:r w:rsidRPr="00D25A91">
        <w:rPr>
          <w:kern w:val="0"/>
        </w:rPr>
        <w:t>287, 2769–2771.</w:t>
      </w:r>
    </w:p>
    <w:p w:rsidR="004919FB" w:rsidRPr="00FE0909" w:rsidRDefault="004919FB" w:rsidP="00FE0909">
      <w:pPr>
        <w:pStyle w:val="Heading1"/>
        <w:ind w:left="720" w:hanging="720"/>
        <w:rPr>
          <w:rFonts w:ascii="Times New Roman" w:hAnsi="Times New Roman" w:cs="Times New Roman"/>
          <w:b w:val="0"/>
          <w:sz w:val="24"/>
          <w:szCs w:val="24"/>
        </w:rPr>
      </w:pPr>
      <w:r w:rsidRPr="00FE0909">
        <w:rPr>
          <w:rFonts w:ascii="Times New Roman" w:hAnsi="Times New Roman" w:cs="Times New Roman"/>
          <w:b w:val="0"/>
          <w:sz w:val="24"/>
          <w:szCs w:val="24"/>
        </w:rPr>
        <w:lastRenderedPageBreak/>
        <w:t xml:space="preserve">Murray, Michael T. (2010), </w:t>
      </w:r>
      <w:r w:rsidRPr="00656F8F">
        <w:rPr>
          <w:rFonts w:ascii="Times New Roman" w:hAnsi="Times New Roman" w:cs="Times New Roman"/>
          <w:b w:val="0"/>
          <w:i/>
          <w:sz w:val="24"/>
          <w:szCs w:val="24"/>
        </w:rPr>
        <w:t>What the Drug Companies Won't Tell You and Your Doctor</w:t>
      </w:r>
      <w:r w:rsidR="00FE0909" w:rsidRPr="00656F8F">
        <w:rPr>
          <w:rFonts w:ascii="Times New Roman" w:hAnsi="Times New Roman" w:cs="Times New Roman"/>
          <w:b w:val="0"/>
          <w:i/>
          <w:sz w:val="24"/>
          <w:szCs w:val="24"/>
        </w:rPr>
        <w:t xml:space="preserve"> </w:t>
      </w:r>
      <w:r w:rsidRPr="00656F8F">
        <w:rPr>
          <w:rFonts w:ascii="Times New Roman" w:hAnsi="Times New Roman" w:cs="Times New Roman"/>
          <w:b w:val="0"/>
          <w:i/>
          <w:sz w:val="24"/>
          <w:szCs w:val="24"/>
        </w:rPr>
        <w:t>Doesn't Know: The Alternative Treatments That May Change Your Life--and the</w:t>
      </w:r>
      <w:r w:rsidR="00FE0909" w:rsidRPr="00656F8F">
        <w:rPr>
          <w:rFonts w:ascii="Times New Roman" w:hAnsi="Times New Roman" w:cs="Times New Roman"/>
          <w:b w:val="0"/>
          <w:i/>
          <w:sz w:val="24"/>
          <w:szCs w:val="24"/>
        </w:rPr>
        <w:t xml:space="preserve"> </w:t>
      </w:r>
      <w:r w:rsidRPr="00656F8F">
        <w:rPr>
          <w:rFonts w:ascii="Times New Roman" w:hAnsi="Times New Roman" w:cs="Times New Roman"/>
          <w:b w:val="0"/>
          <w:i/>
          <w:sz w:val="24"/>
          <w:szCs w:val="24"/>
        </w:rPr>
        <w:t>Prescriptions That Could Harm You</w:t>
      </w:r>
      <w:r>
        <w:rPr>
          <w:rFonts w:ascii="Times New Roman" w:hAnsi="Times New Roman" w:cs="Times New Roman"/>
          <w:b w:val="0"/>
          <w:sz w:val="24"/>
          <w:szCs w:val="24"/>
        </w:rPr>
        <w:t xml:space="preserve">, </w:t>
      </w:r>
      <w:r w:rsidR="00D14DB9">
        <w:rPr>
          <w:rFonts w:ascii="Times New Roman" w:hAnsi="Times New Roman" w:cs="Times New Roman"/>
          <w:b w:val="0"/>
          <w:sz w:val="24"/>
          <w:szCs w:val="24"/>
        </w:rPr>
        <w:t>Atria Books, New York, NY</w:t>
      </w:r>
      <w:r w:rsidR="00656F8F">
        <w:rPr>
          <w:rFonts w:ascii="Times New Roman" w:hAnsi="Times New Roman" w:cs="Times New Roman"/>
          <w:b w:val="0"/>
          <w:sz w:val="24"/>
          <w:szCs w:val="24"/>
        </w:rPr>
        <w:t>.</w:t>
      </w:r>
    </w:p>
    <w:p w:rsidR="00B80E4F" w:rsidRDefault="00B80E4F" w:rsidP="00B80E4F">
      <w:pPr>
        <w:autoSpaceDE w:val="0"/>
        <w:autoSpaceDN w:val="0"/>
        <w:adjustRightInd w:val="0"/>
        <w:spacing w:before="240"/>
        <w:ind w:left="720" w:hanging="720"/>
      </w:pPr>
      <w:r w:rsidRPr="00A044E4">
        <w:t xml:space="preserve">Narayanan, </w:t>
      </w:r>
      <w:r>
        <w:t xml:space="preserve">Sreedhar, Ramarao </w:t>
      </w:r>
      <w:r w:rsidRPr="00A044E4">
        <w:t xml:space="preserve">Desiraju, </w:t>
      </w:r>
      <w:r>
        <w:t>and</w:t>
      </w:r>
      <w:r w:rsidRPr="00A044E4">
        <w:t xml:space="preserve"> </w:t>
      </w:r>
      <w:r>
        <w:t xml:space="preserve">Pradeep K. </w:t>
      </w:r>
      <w:r w:rsidRPr="00A044E4">
        <w:t xml:space="preserve">Chintagunta </w:t>
      </w:r>
      <w:r>
        <w:t>(</w:t>
      </w:r>
      <w:r w:rsidRPr="00A044E4">
        <w:t>2004</w:t>
      </w:r>
      <w:r>
        <w:t xml:space="preserve">), “Return on Investment Implications for Pharmaceutical Promotional Expenditures: The Role of Marketing-Mix Interactions,” </w:t>
      </w:r>
      <w:r w:rsidRPr="00CC4D55">
        <w:rPr>
          <w:i/>
          <w:iCs/>
        </w:rPr>
        <w:t>Journal of Marketing</w:t>
      </w:r>
      <w:r>
        <w:t xml:space="preserve">, </w:t>
      </w:r>
      <w:r w:rsidRPr="00053B6E">
        <w:rPr>
          <w:i/>
          <w:iCs/>
        </w:rPr>
        <w:t>68</w:t>
      </w:r>
      <w:r>
        <w:rPr>
          <w:i/>
          <w:iCs/>
        </w:rPr>
        <w:t xml:space="preserve"> (4)</w:t>
      </w:r>
      <w:r>
        <w:t>, 90-105.</w:t>
      </w:r>
    </w:p>
    <w:p w:rsidR="00B80E4F" w:rsidRDefault="00B80E4F" w:rsidP="00B80E4F">
      <w:pPr>
        <w:autoSpaceDE w:val="0"/>
        <w:autoSpaceDN w:val="0"/>
        <w:adjustRightInd w:val="0"/>
        <w:rPr>
          <w:kern w:val="0"/>
        </w:rPr>
      </w:pPr>
    </w:p>
    <w:p w:rsidR="007B4D3B" w:rsidRDefault="007B4D3B" w:rsidP="007B4D3B">
      <w:pPr>
        <w:autoSpaceDE w:val="0"/>
        <w:autoSpaceDN w:val="0"/>
        <w:adjustRightInd w:val="0"/>
        <w:spacing w:before="240"/>
        <w:ind w:left="720" w:hanging="720"/>
      </w:pPr>
      <w:r>
        <w:t xml:space="preserve">__________, Puneet Manchanda, and Pradeep K. Chintagunta (2005), “Temporal Differences in the Role of Marketing Communication in New Product Categories,” </w:t>
      </w:r>
      <w:r>
        <w:rPr>
          <w:i/>
          <w:iCs/>
        </w:rPr>
        <w:t>Journal of Marketing Research</w:t>
      </w:r>
      <w:r>
        <w:t xml:space="preserve">, </w:t>
      </w:r>
      <w:r>
        <w:rPr>
          <w:i/>
          <w:iCs/>
        </w:rPr>
        <w:t>42 (3)</w:t>
      </w:r>
      <w:r>
        <w:t>, 278-290.</w:t>
      </w:r>
    </w:p>
    <w:p w:rsidR="007B4D3B" w:rsidRDefault="007B4D3B" w:rsidP="00437B10">
      <w:pPr>
        <w:autoSpaceDE w:val="0"/>
        <w:autoSpaceDN w:val="0"/>
        <w:adjustRightInd w:val="0"/>
        <w:ind w:left="720" w:hanging="720"/>
        <w:outlineLvl w:val="0"/>
        <w:rPr>
          <w:kern w:val="0"/>
        </w:rPr>
      </w:pPr>
    </w:p>
    <w:p w:rsidR="00B80E4F" w:rsidRDefault="00B80E4F" w:rsidP="00437B10">
      <w:pPr>
        <w:autoSpaceDE w:val="0"/>
        <w:autoSpaceDN w:val="0"/>
        <w:adjustRightInd w:val="0"/>
        <w:ind w:left="720" w:hanging="720"/>
        <w:outlineLvl w:val="0"/>
      </w:pPr>
      <w:r>
        <w:rPr>
          <w:kern w:val="0"/>
        </w:rPr>
        <w:t>Oliver, Christine (1991), “</w:t>
      </w:r>
      <w:r w:rsidRPr="0051002C">
        <w:rPr>
          <w:bCs/>
          <w:kern w:val="0"/>
        </w:rPr>
        <w:t>Strategic Responses to Institutional Processes</w:t>
      </w:r>
      <w:r>
        <w:rPr>
          <w:bCs/>
          <w:kern w:val="0"/>
        </w:rPr>
        <w:t xml:space="preserve">,” </w:t>
      </w:r>
      <w:r>
        <w:rPr>
          <w:i/>
          <w:iCs/>
          <w:kern w:val="0"/>
        </w:rPr>
        <w:t>The Academy of</w:t>
      </w:r>
      <w:r w:rsidR="00FE0909">
        <w:rPr>
          <w:i/>
          <w:iCs/>
          <w:kern w:val="0"/>
        </w:rPr>
        <w:t xml:space="preserve"> </w:t>
      </w:r>
      <w:r>
        <w:rPr>
          <w:i/>
          <w:iCs/>
          <w:kern w:val="0"/>
        </w:rPr>
        <w:t>Management Review</w:t>
      </w:r>
      <w:r>
        <w:rPr>
          <w:kern w:val="0"/>
        </w:rPr>
        <w:t>, 16 (1), 145-179.</w:t>
      </w:r>
    </w:p>
    <w:p w:rsidR="00B80E4F" w:rsidRDefault="00B80E4F" w:rsidP="00B80E4F">
      <w:pPr>
        <w:spacing w:before="240"/>
        <w:ind w:left="720" w:hanging="720"/>
      </w:pPr>
      <w:r>
        <w:t>Oliver</w:t>
      </w:r>
      <w:r w:rsidRPr="00251F02">
        <w:t>, R</w:t>
      </w:r>
      <w:r>
        <w:t>ichard</w:t>
      </w:r>
      <w:r w:rsidRPr="00251F02">
        <w:t xml:space="preserve"> </w:t>
      </w:r>
      <w:r>
        <w:t>and</w:t>
      </w:r>
      <w:r w:rsidRPr="00251F02">
        <w:t xml:space="preserve"> </w:t>
      </w:r>
      <w:r>
        <w:t xml:space="preserve">Larry </w:t>
      </w:r>
      <w:r w:rsidRPr="00251F02">
        <w:t>Van Horn (2004)</w:t>
      </w:r>
      <w:r>
        <w:t>,</w:t>
      </w:r>
      <w:r w:rsidRPr="00251F02">
        <w:t xml:space="preserve"> </w:t>
      </w:r>
      <w:r>
        <w:t xml:space="preserve">“Persistence in Prescriptions of Branded Drugs,” </w:t>
      </w:r>
      <w:r w:rsidRPr="00835535">
        <w:rPr>
          <w:i/>
          <w:iCs/>
        </w:rPr>
        <w:t>International Journal of Industrial Organization</w:t>
      </w:r>
      <w:r>
        <w:t xml:space="preserve">, </w:t>
      </w:r>
      <w:r w:rsidRPr="006819B0">
        <w:rPr>
          <w:i/>
          <w:iCs/>
        </w:rPr>
        <w:t>22</w:t>
      </w:r>
      <w:r>
        <w:t>, 523-540.</w:t>
      </w:r>
      <w:r w:rsidRPr="00B01DB5">
        <w:t xml:space="preserve"> </w:t>
      </w:r>
    </w:p>
    <w:p w:rsidR="00B80E4F" w:rsidRDefault="00B80E4F" w:rsidP="00B80E4F">
      <w:pPr>
        <w:pStyle w:val="NoSpacing"/>
      </w:pPr>
    </w:p>
    <w:p w:rsidR="00B80E4F" w:rsidRDefault="00B80E4F" w:rsidP="00437B10">
      <w:pPr>
        <w:pStyle w:val="NoSpacing"/>
        <w:ind w:left="720" w:hanging="720"/>
      </w:pPr>
      <w:r w:rsidRPr="003C7C4E">
        <w:t>O’Reilley, K</w:t>
      </w:r>
      <w:r>
        <w:t>evin</w:t>
      </w:r>
      <w:r w:rsidRPr="003C7C4E">
        <w:t xml:space="preserve"> (2006)</w:t>
      </w:r>
      <w:r>
        <w:t>,</w:t>
      </w:r>
      <w:r w:rsidRPr="003C7C4E">
        <w:t xml:space="preserve"> </w:t>
      </w:r>
      <w:r>
        <w:t>“</w:t>
      </w:r>
      <w:r w:rsidRPr="003C7C4E">
        <w:t xml:space="preserve">AMA Opt-Out Program Will Keep Prescribing Data </w:t>
      </w:r>
      <w:r>
        <w:t>f</w:t>
      </w:r>
      <w:r w:rsidRPr="003C7C4E">
        <w:t>rom Drug Reps</w:t>
      </w:r>
      <w:r>
        <w:t>:</w:t>
      </w:r>
      <w:r w:rsidR="00FE0909">
        <w:t xml:space="preserve"> </w:t>
      </w:r>
      <w:r w:rsidRPr="003C7C4E">
        <w:t>The</w:t>
      </w:r>
      <w:r>
        <w:t xml:space="preserve"> </w:t>
      </w:r>
      <w:r w:rsidRPr="003C7C4E">
        <w:t xml:space="preserve">Association Plans </w:t>
      </w:r>
      <w:r>
        <w:t>t</w:t>
      </w:r>
      <w:r w:rsidRPr="003C7C4E">
        <w:t xml:space="preserve">o Track Closely Physician Complaints About Drug Reps Who Use Data </w:t>
      </w:r>
      <w:r>
        <w:t>t</w:t>
      </w:r>
      <w:r w:rsidRPr="003C7C4E">
        <w:t>o Pressure Them</w:t>
      </w:r>
      <w:r>
        <w:t xml:space="preserve">,” (Accessed July 15, 2011), [Available at  </w:t>
      </w:r>
      <w:hyperlink r:id="rId19" w:history="1">
        <w:r w:rsidRPr="00D33774">
          <w:rPr>
            <w:rStyle w:val="Hyperlink"/>
          </w:rPr>
          <w:t>http://www.ama-assn.org/amednews/2006/05/22/prl10522.htm</w:t>
        </w:r>
      </w:hyperlink>
      <w:r>
        <w:t>]</w:t>
      </w:r>
    </w:p>
    <w:p w:rsidR="00B80E4F" w:rsidRDefault="00B80E4F" w:rsidP="00B80E4F">
      <w:pPr>
        <w:pStyle w:val="NoSpacing"/>
        <w:ind w:left="720"/>
      </w:pPr>
    </w:p>
    <w:p w:rsidR="00202C7D" w:rsidRDefault="00202C7D" w:rsidP="00437B10">
      <w:pPr>
        <w:pStyle w:val="NoSpacing"/>
        <w:ind w:left="720" w:hanging="720"/>
        <w:outlineLvl w:val="0"/>
      </w:pPr>
      <w:r>
        <w:t xml:space="preserve">Orentlicher, David (2010), “Prescription Data Mining and the Protection of Patients’ Interests,” </w:t>
      </w:r>
      <w:r w:rsidR="00437B10">
        <w:t xml:space="preserve"> </w:t>
      </w:r>
      <w:r w:rsidR="00437B10">
        <w:rPr>
          <w:i/>
        </w:rPr>
        <w:t>J</w:t>
      </w:r>
      <w:r w:rsidR="0022137C" w:rsidRPr="00FE0909">
        <w:rPr>
          <w:i/>
        </w:rPr>
        <w:t>ournal of Law, Medicine, &amp; Ethics,</w:t>
      </w:r>
      <w:r>
        <w:t xml:space="preserve"> 38(1), 74-84.</w:t>
      </w:r>
    </w:p>
    <w:p w:rsidR="00202C7D" w:rsidRDefault="00202C7D" w:rsidP="0022291A">
      <w:pPr>
        <w:pStyle w:val="NoSpacing"/>
        <w:outlineLvl w:val="0"/>
      </w:pPr>
    </w:p>
    <w:p w:rsidR="00B80E4F" w:rsidRDefault="00B80E4F" w:rsidP="001B002F">
      <w:pPr>
        <w:pStyle w:val="NoSpacing"/>
        <w:ind w:left="720" w:hanging="720"/>
        <w:outlineLvl w:val="0"/>
      </w:pPr>
      <w:r w:rsidRPr="006819B0">
        <w:t>Parsons</w:t>
      </w:r>
      <w:r>
        <w:t>, Talcott (1956</w:t>
      </w:r>
      <w:r w:rsidRPr="006819B0">
        <w:t>)</w:t>
      </w:r>
      <w:r>
        <w:t>,</w:t>
      </w:r>
      <w:r w:rsidRPr="006819B0">
        <w:t xml:space="preserve"> </w:t>
      </w:r>
      <w:r>
        <w:t xml:space="preserve">“Suggestions </w:t>
      </w:r>
      <w:r w:rsidR="00E610C1">
        <w:t>for a Sociological Approach to t</w:t>
      </w:r>
      <w:r>
        <w:t xml:space="preserve">he Theory </w:t>
      </w:r>
      <w:r w:rsidR="001B002F">
        <w:t>o</w:t>
      </w:r>
      <w:r>
        <w:t>f</w:t>
      </w:r>
      <w:r w:rsidR="001B002F">
        <w:t xml:space="preserve"> </w:t>
      </w:r>
      <w:r>
        <w:t xml:space="preserve">Organizations,” </w:t>
      </w:r>
      <w:r>
        <w:rPr>
          <w:i/>
          <w:iCs/>
          <w:kern w:val="0"/>
        </w:rPr>
        <w:t>Administrative Science Quarterly</w:t>
      </w:r>
      <w:r>
        <w:rPr>
          <w:kern w:val="0"/>
        </w:rPr>
        <w:t xml:space="preserve">, </w:t>
      </w:r>
      <w:r w:rsidRPr="0051002C">
        <w:rPr>
          <w:iCs/>
          <w:kern w:val="0"/>
        </w:rPr>
        <w:t>1</w:t>
      </w:r>
      <w:r>
        <w:rPr>
          <w:kern w:val="0"/>
        </w:rPr>
        <w:t>(1), 63-85.</w:t>
      </w:r>
    </w:p>
    <w:p w:rsidR="00B80E4F" w:rsidRDefault="00B80E4F" w:rsidP="00B80E4F">
      <w:pPr>
        <w:autoSpaceDE w:val="0"/>
        <w:autoSpaceDN w:val="0"/>
        <w:adjustRightInd w:val="0"/>
        <w:spacing w:before="240"/>
        <w:ind w:left="720" w:hanging="720"/>
      </w:pPr>
      <w:r>
        <w:t>________</w:t>
      </w:r>
      <w:r w:rsidRPr="006819B0">
        <w:t xml:space="preserve"> (1968)</w:t>
      </w:r>
      <w:r>
        <w:t>,</w:t>
      </w:r>
      <w:r w:rsidRPr="006819B0">
        <w:t xml:space="preserve"> </w:t>
      </w:r>
      <w:r>
        <w:t>“</w:t>
      </w:r>
      <w:r w:rsidR="00E610C1">
        <w:t>The Distribution of Power i</w:t>
      </w:r>
      <w:r w:rsidRPr="006819B0">
        <w:t>n American Society</w:t>
      </w:r>
      <w:r>
        <w:t xml:space="preserve">,” </w:t>
      </w:r>
      <w:r w:rsidRPr="006819B0">
        <w:t xml:space="preserve">In W. Domhoff </w:t>
      </w:r>
      <w:r>
        <w:t>and</w:t>
      </w:r>
      <w:r w:rsidRPr="006819B0">
        <w:t xml:space="preserve"> H. Ballard</w:t>
      </w:r>
      <w:r w:rsidRPr="006819B0">
        <w:rPr>
          <w:i/>
          <w:iCs/>
        </w:rPr>
        <w:t xml:space="preserve"> </w:t>
      </w:r>
      <w:r>
        <w:t>e</w:t>
      </w:r>
      <w:r w:rsidRPr="006819B0">
        <w:t xml:space="preserve">ds. </w:t>
      </w:r>
      <w:r w:rsidRPr="006819B0">
        <w:rPr>
          <w:i/>
          <w:iCs/>
        </w:rPr>
        <w:t xml:space="preserve">C. Wright </w:t>
      </w:r>
      <w:r w:rsidRPr="00DE47BC">
        <w:rPr>
          <w:i/>
          <w:iCs/>
        </w:rPr>
        <w:t>Mills and the power elite</w:t>
      </w:r>
      <w:r>
        <w:rPr>
          <w:i/>
          <w:iCs/>
        </w:rPr>
        <w:t>,</w:t>
      </w:r>
      <w:r>
        <w:t xml:space="preserve"> </w:t>
      </w:r>
      <w:r w:rsidRPr="00DE47BC">
        <w:t xml:space="preserve">199-225. </w:t>
      </w:r>
      <w:smartTag w:uri="urn:schemas-microsoft-com:office:smarttags" w:element="City">
        <w:smartTag w:uri="urn:schemas-microsoft-com:office:smarttags" w:element="place">
          <w:r w:rsidRPr="00DE47BC">
            <w:t>Boston</w:t>
          </w:r>
        </w:smartTag>
      </w:smartTag>
      <w:r w:rsidRPr="00DE47BC">
        <w:t>: Beacon Press.</w:t>
      </w:r>
    </w:p>
    <w:p w:rsidR="00A25B24" w:rsidRDefault="00B80E4F" w:rsidP="00A25B24">
      <w:pPr>
        <w:autoSpaceDE w:val="0"/>
        <w:autoSpaceDN w:val="0"/>
        <w:adjustRightInd w:val="0"/>
        <w:spacing w:before="240"/>
        <w:ind w:left="720" w:hanging="720"/>
      </w:pPr>
      <w:r>
        <w:t>Petersen, Melody</w:t>
      </w:r>
      <w:r w:rsidRPr="00D076D2">
        <w:t xml:space="preserve"> </w:t>
      </w:r>
      <w:r>
        <w:t>(2003), “Astrazeneca Pleads Guilty in Cancer Medicine Scheme,” (Accessed May 16, 2008, [Available at</w:t>
      </w:r>
      <w:r w:rsidR="00A25B24">
        <w:t xml:space="preserve"> h</w:t>
      </w:r>
      <w:r w:rsidR="00A25B24" w:rsidRPr="00A25B24">
        <w:t>ttp://query.nytimes.com/gst/fullpage.html?res=9C07E7D8163BF932A15755C0A9659C8B63andscp=1andsq=AstraZeneca+and+Zoladexandst=nyt</w:t>
      </w:r>
      <w:r>
        <w:t>].</w:t>
      </w:r>
    </w:p>
    <w:p w:rsidR="00A25B24" w:rsidRDefault="00A25B24" w:rsidP="00A25B24"/>
    <w:p w:rsidR="00A25B24" w:rsidRDefault="00A25B24" w:rsidP="00A25B24">
      <w:r>
        <w:t>Porac</w:t>
      </w:r>
      <w:r w:rsidRPr="00351363">
        <w:t>, Joseph F.</w:t>
      </w:r>
      <w:r>
        <w:t xml:space="preserve">, Howard </w:t>
      </w:r>
      <w:r w:rsidRPr="00351363">
        <w:t xml:space="preserve">Thomas, </w:t>
      </w:r>
      <w:r>
        <w:t xml:space="preserve">and Charles </w:t>
      </w:r>
      <w:r w:rsidRPr="00351363">
        <w:t>Baden-Fuller</w:t>
      </w:r>
      <w:r>
        <w:t xml:space="preserve"> (1989), “Competitive Groups as</w:t>
      </w:r>
    </w:p>
    <w:p w:rsidR="00A25B24" w:rsidRDefault="00A25B24" w:rsidP="00A25B24">
      <w:pPr>
        <w:ind w:left="720"/>
      </w:pPr>
      <w:r>
        <w:t xml:space="preserve">Cognitive Communities: The Case of Scottish Knitwear Manufacturers,” </w:t>
      </w:r>
      <w:r w:rsidRPr="0056156B">
        <w:rPr>
          <w:i/>
        </w:rPr>
        <w:t>Journal of Management Studies</w:t>
      </w:r>
      <w:r>
        <w:t>, 26 (4), 397-416.</w:t>
      </w:r>
    </w:p>
    <w:p w:rsidR="00A25B24" w:rsidRDefault="00A25B24" w:rsidP="00A25B24">
      <w:pPr>
        <w:rPr>
          <w:rStyle w:val="Strong"/>
          <w:b w:val="0"/>
        </w:rPr>
      </w:pPr>
    </w:p>
    <w:p w:rsidR="00A25B24" w:rsidRDefault="00A25B24" w:rsidP="00A25B24">
      <w:r w:rsidRPr="0056156B">
        <w:rPr>
          <w:rStyle w:val="Strong"/>
          <w:b w:val="0"/>
        </w:rPr>
        <w:t>Prahalad</w:t>
      </w:r>
      <w:r w:rsidRPr="0056156B">
        <w:t>, C. K.</w:t>
      </w:r>
      <w:r>
        <w:t xml:space="preserve"> and Richard A. Bettis (1986), “The Dominant Logic: a New Linkage between</w:t>
      </w:r>
    </w:p>
    <w:p w:rsidR="00A25B24" w:rsidRDefault="00A25B24" w:rsidP="00A25B24">
      <w:pPr>
        <w:ind w:left="720"/>
      </w:pPr>
      <w:r>
        <w:t xml:space="preserve"> Diversity and Performance,” </w:t>
      </w:r>
      <w:r w:rsidRPr="00656F8F">
        <w:rPr>
          <w:i/>
        </w:rPr>
        <w:t>Strategic Management Journal</w:t>
      </w:r>
      <w:r>
        <w:rPr>
          <w:i/>
        </w:rPr>
        <w:t>,</w:t>
      </w:r>
      <w:r>
        <w:t xml:space="preserve"> 7(6), 485-501.</w:t>
      </w:r>
    </w:p>
    <w:p w:rsidR="00B80E4F" w:rsidRPr="00DE47BC" w:rsidRDefault="00B80E4F" w:rsidP="00B80E4F">
      <w:pPr>
        <w:autoSpaceDE w:val="0"/>
        <w:autoSpaceDN w:val="0"/>
        <w:adjustRightInd w:val="0"/>
        <w:spacing w:before="240"/>
        <w:ind w:left="720" w:hanging="720"/>
        <w:rPr>
          <w:color w:val="292526"/>
          <w:kern w:val="0"/>
        </w:rPr>
      </w:pPr>
      <w:r w:rsidRPr="00DE47BC">
        <w:rPr>
          <w:color w:val="292526"/>
          <w:kern w:val="0"/>
        </w:rPr>
        <w:t>Psat</w:t>
      </w:r>
      <w:r>
        <w:rPr>
          <w:color w:val="292526"/>
          <w:kern w:val="0"/>
        </w:rPr>
        <w:t>y,</w:t>
      </w:r>
      <w:r w:rsidRPr="00DE47BC">
        <w:rPr>
          <w:color w:val="292526"/>
          <w:kern w:val="0"/>
        </w:rPr>
        <w:t xml:space="preserve"> B</w:t>
      </w:r>
      <w:r>
        <w:rPr>
          <w:color w:val="292526"/>
          <w:kern w:val="0"/>
        </w:rPr>
        <w:t xml:space="preserve">ruce </w:t>
      </w:r>
      <w:r w:rsidRPr="00DE47BC">
        <w:rPr>
          <w:color w:val="292526"/>
          <w:kern w:val="0"/>
        </w:rPr>
        <w:t>M</w:t>
      </w:r>
      <w:r>
        <w:rPr>
          <w:color w:val="292526"/>
          <w:kern w:val="0"/>
        </w:rPr>
        <w:t>. and</w:t>
      </w:r>
      <w:r w:rsidRPr="00DE47BC">
        <w:rPr>
          <w:color w:val="292526"/>
          <w:kern w:val="0"/>
        </w:rPr>
        <w:t xml:space="preserve"> </w:t>
      </w:r>
      <w:r>
        <w:rPr>
          <w:color w:val="292526"/>
          <w:kern w:val="0"/>
        </w:rPr>
        <w:t xml:space="preserve">Richard A. </w:t>
      </w:r>
      <w:r w:rsidRPr="00DE47BC">
        <w:rPr>
          <w:color w:val="292526"/>
          <w:kern w:val="0"/>
        </w:rPr>
        <w:t>Kronmal</w:t>
      </w:r>
      <w:r>
        <w:rPr>
          <w:color w:val="292526"/>
          <w:kern w:val="0"/>
        </w:rPr>
        <w:t xml:space="preserve"> (2008),</w:t>
      </w:r>
      <w:r w:rsidRPr="00DE47BC">
        <w:rPr>
          <w:color w:val="292526"/>
          <w:kern w:val="0"/>
        </w:rPr>
        <w:t xml:space="preserve"> </w:t>
      </w:r>
      <w:r>
        <w:rPr>
          <w:color w:val="292526"/>
          <w:kern w:val="0"/>
        </w:rPr>
        <w:t>“</w:t>
      </w:r>
      <w:r w:rsidRPr="00DE47BC">
        <w:rPr>
          <w:color w:val="292526"/>
          <w:kern w:val="0"/>
        </w:rPr>
        <w:t>Reporting M</w:t>
      </w:r>
      <w:r>
        <w:rPr>
          <w:color w:val="292526"/>
          <w:kern w:val="0"/>
        </w:rPr>
        <w:t>ortality Findings in Trials of R</w:t>
      </w:r>
      <w:r w:rsidRPr="00DE47BC">
        <w:rPr>
          <w:color w:val="292526"/>
          <w:kern w:val="0"/>
        </w:rPr>
        <w:t xml:space="preserve">ofecoxib </w:t>
      </w:r>
      <w:r>
        <w:rPr>
          <w:color w:val="292526"/>
          <w:kern w:val="0"/>
        </w:rPr>
        <w:t>f</w:t>
      </w:r>
      <w:r w:rsidRPr="00DE47BC">
        <w:rPr>
          <w:color w:val="292526"/>
          <w:kern w:val="0"/>
        </w:rPr>
        <w:t xml:space="preserve">or Alzheimer Disease </w:t>
      </w:r>
      <w:r>
        <w:rPr>
          <w:color w:val="292526"/>
          <w:kern w:val="0"/>
        </w:rPr>
        <w:t>o</w:t>
      </w:r>
      <w:r w:rsidRPr="00DE47BC">
        <w:rPr>
          <w:color w:val="292526"/>
          <w:kern w:val="0"/>
        </w:rPr>
        <w:t>r Cognitive Impairment: A Case</w:t>
      </w:r>
      <w:r>
        <w:rPr>
          <w:color w:val="292526"/>
          <w:kern w:val="0"/>
        </w:rPr>
        <w:t xml:space="preserve"> Study Based on Documents from R</w:t>
      </w:r>
      <w:r w:rsidRPr="00DE47BC">
        <w:rPr>
          <w:color w:val="292526"/>
          <w:kern w:val="0"/>
        </w:rPr>
        <w:t>ofecoxib Litigation</w:t>
      </w:r>
      <w:r>
        <w:rPr>
          <w:color w:val="292526"/>
          <w:kern w:val="0"/>
        </w:rPr>
        <w:t>,”</w:t>
      </w:r>
      <w:r w:rsidRPr="00DE47BC">
        <w:rPr>
          <w:color w:val="292526"/>
          <w:kern w:val="0"/>
        </w:rPr>
        <w:t xml:space="preserve"> </w:t>
      </w:r>
      <w:r w:rsidRPr="00DE47BC">
        <w:rPr>
          <w:i/>
          <w:iCs/>
          <w:color w:val="292526"/>
          <w:kern w:val="0"/>
        </w:rPr>
        <w:t>J</w:t>
      </w:r>
      <w:r>
        <w:rPr>
          <w:i/>
          <w:iCs/>
          <w:color w:val="292526"/>
          <w:kern w:val="0"/>
        </w:rPr>
        <w:t xml:space="preserve">ournal of the </w:t>
      </w:r>
      <w:r w:rsidRPr="00DE47BC">
        <w:rPr>
          <w:i/>
          <w:iCs/>
          <w:color w:val="292526"/>
          <w:kern w:val="0"/>
        </w:rPr>
        <w:t>A</w:t>
      </w:r>
      <w:r>
        <w:rPr>
          <w:i/>
          <w:iCs/>
          <w:color w:val="292526"/>
          <w:kern w:val="0"/>
        </w:rPr>
        <w:t xml:space="preserve">merican </w:t>
      </w:r>
      <w:r w:rsidRPr="00DE47BC">
        <w:rPr>
          <w:i/>
          <w:iCs/>
          <w:color w:val="292526"/>
          <w:kern w:val="0"/>
        </w:rPr>
        <w:t>M</w:t>
      </w:r>
      <w:r>
        <w:rPr>
          <w:i/>
          <w:iCs/>
          <w:color w:val="292526"/>
          <w:kern w:val="0"/>
        </w:rPr>
        <w:t xml:space="preserve">edical </w:t>
      </w:r>
      <w:r w:rsidRPr="00DE47BC">
        <w:rPr>
          <w:i/>
          <w:iCs/>
          <w:color w:val="292526"/>
          <w:kern w:val="0"/>
        </w:rPr>
        <w:t>A</w:t>
      </w:r>
      <w:r>
        <w:rPr>
          <w:i/>
          <w:iCs/>
          <w:color w:val="292526"/>
          <w:kern w:val="0"/>
        </w:rPr>
        <w:t xml:space="preserve">ssociation, </w:t>
      </w:r>
      <w:r w:rsidRPr="00EC4CC6">
        <w:rPr>
          <w:iCs/>
          <w:color w:val="292526"/>
          <w:kern w:val="0"/>
        </w:rPr>
        <w:t xml:space="preserve">299 </w:t>
      </w:r>
      <w:r w:rsidRPr="00EC4CC6">
        <w:rPr>
          <w:color w:val="292526"/>
          <w:kern w:val="0"/>
        </w:rPr>
        <w:t>(</w:t>
      </w:r>
      <w:r>
        <w:rPr>
          <w:color w:val="292526"/>
          <w:kern w:val="0"/>
        </w:rPr>
        <w:t>15),</w:t>
      </w:r>
      <w:r w:rsidRPr="00DE47BC">
        <w:rPr>
          <w:color w:val="292526"/>
          <w:kern w:val="0"/>
        </w:rPr>
        <w:t xml:space="preserve"> 1813-1817.</w:t>
      </w:r>
    </w:p>
    <w:p w:rsidR="00B80E4F" w:rsidRDefault="00B80E4F" w:rsidP="00B80E4F">
      <w:pPr>
        <w:pStyle w:val="NoSpacing"/>
        <w:rPr>
          <w:rStyle w:val="gsa"/>
        </w:rPr>
      </w:pPr>
    </w:p>
    <w:p w:rsidR="00B80E4F" w:rsidRDefault="00B80E4F" w:rsidP="0022291A">
      <w:pPr>
        <w:pStyle w:val="NoSpacing"/>
        <w:outlineLvl w:val="0"/>
      </w:pPr>
      <w:r w:rsidRPr="0051002C">
        <w:rPr>
          <w:rStyle w:val="gsa"/>
        </w:rPr>
        <w:t>Rao, R</w:t>
      </w:r>
      <w:r>
        <w:rPr>
          <w:rStyle w:val="gsa"/>
        </w:rPr>
        <w:t>aghunath Singh</w:t>
      </w:r>
      <w:r w:rsidRPr="0051002C">
        <w:rPr>
          <w:rStyle w:val="gsa"/>
        </w:rPr>
        <w:t xml:space="preserve">, </w:t>
      </w:r>
      <w:r>
        <w:rPr>
          <w:rStyle w:val="gsa"/>
        </w:rPr>
        <w:t xml:space="preserve">Rajesh K. </w:t>
      </w:r>
      <w:r w:rsidRPr="0051002C">
        <w:rPr>
          <w:rStyle w:val="gsa"/>
        </w:rPr>
        <w:t xml:space="preserve">Chandy, </w:t>
      </w:r>
      <w:r>
        <w:rPr>
          <w:rStyle w:val="gsa"/>
        </w:rPr>
        <w:t>and</w:t>
      </w:r>
      <w:r w:rsidRPr="0051002C">
        <w:rPr>
          <w:rStyle w:val="gsa"/>
        </w:rPr>
        <w:t xml:space="preserve"> </w:t>
      </w:r>
      <w:r>
        <w:rPr>
          <w:rStyle w:val="gsa"/>
        </w:rPr>
        <w:t xml:space="preserve">Jaideep C. </w:t>
      </w:r>
      <w:r w:rsidRPr="0051002C">
        <w:rPr>
          <w:rStyle w:val="gsa"/>
        </w:rPr>
        <w:t>Prabhu (2008)</w:t>
      </w:r>
      <w:r>
        <w:rPr>
          <w:rStyle w:val="gsa"/>
        </w:rPr>
        <w:t>,</w:t>
      </w:r>
      <w:r>
        <w:rPr>
          <w:rStyle w:val="gsa"/>
          <w:b/>
        </w:rPr>
        <w:t xml:space="preserve"> “</w:t>
      </w:r>
      <w:r w:rsidRPr="0051002C">
        <w:t xml:space="preserve">The Fruits </w:t>
      </w:r>
      <w:r>
        <w:t>o</w:t>
      </w:r>
      <w:r w:rsidRPr="0051002C">
        <w:t>f</w:t>
      </w:r>
    </w:p>
    <w:p w:rsidR="00B80E4F" w:rsidRDefault="00B80E4F" w:rsidP="00B80E4F">
      <w:pPr>
        <w:pStyle w:val="NoSpacing"/>
        <w:ind w:left="720"/>
        <w:rPr>
          <w:rStyle w:val="gsa"/>
          <w:sz w:val="20"/>
          <w:szCs w:val="20"/>
        </w:rPr>
      </w:pPr>
      <w:r w:rsidRPr="0051002C">
        <w:lastRenderedPageBreak/>
        <w:t>Legitimacy: Why Some New</w:t>
      </w:r>
      <w:r>
        <w:t xml:space="preserve"> </w:t>
      </w:r>
      <w:r w:rsidRPr="0051002C">
        <w:t xml:space="preserve">Ventures Gain More </w:t>
      </w:r>
      <w:r>
        <w:t>from Innovation t</w:t>
      </w:r>
      <w:r w:rsidRPr="0051002C">
        <w:t>han Others</w:t>
      </w:r>
      <w:r>
        <w:t xml:space="preserve">,” </w:t>
      </w:r>
      <w:r w:rsidRPr="0051002C">
        <w:rPr>
          <w:rStyle w:val="gsa"/>
          <w:i/>
        </w:rPr>
        <w:t>Journal of</w:t>
      </w:r>
      <w:r>
        <w:rPr>
          <w:rStyle w:val="gsa"/>
          <w:i/>
        </w:rPr>
        <w:t xml:space="preserve"> </w:t>
      </w:r>
      <w:r w:rsidRPr="0051002C">
        <w:rPr>
          <w:rStyle w:val="gsa"/>
          <w:i/>
        </w:rPr>
        <w:t>Marketing</w:t>
      </w:r>
      <w:r>
        <w:rPr>
          <w:rStyle w:val="gsa"/>
          <w:sz w:val="20"/>
          <w:szCs w:val="20"/>
        </w:rPr>
        <w:t xml:space="preserve">, </w:t>
      </w:r>
      <w:r w:rsidRPr="0051002C">
        <w:rPr>
          <w:rStyle w:val="gsa"/>
        </w:rPr>
        <w:t>72</w:t>
      </w:r>
      <w:r>
        <w:rPr>
          <w:rStyle w:val="gsa"/>
        </w:rPr>
        <w:t xml:space="preserve"> (July)</w:t>
      </w:r>
      <w:r w:rsidRPr="0051002C">
        <w:rPr>
          <w:rStyle w:val="gsa"/>
        </w:rPr>
        <w:t>, 58-75</w:t>
      </w:r>
      <w:r>
        <w:rPr>
          <w:rStyle w:val="gsa"/>
          <w:sz w:val="20"/>
          <w:szCs w:val="20"/>
        </w:rPr>
        <w:t>.</w:t>
      </w:r>
    </w:p>
    <w:p w:rsidR="00B80E4F" w:rsidRDefault="008574CD" w:rsidP="00B80E4F">
      <w:pPr>
        <w:spacing w:before="240"/>
        <w:ind w:left="720" w:hanging="720"/>
      </w:pPr>
      <w:r w:rsidRPr="00710171">
        <w:t>Relman,</w:t>
      </w:r>
      <w:r>
        <w:t xml:space="preserve"> Arnold S.</w:t>
      </w:r>
      <w:r w:rsidR="00B80E4F" w:rsidRPr="0003547D">
        <w:t xml:space="preserve"> </w:t>
      </w:r>
      <w:r w:rsidR="00B80E4F">
        <w:t>(</w:t>
      </w:r>
      <w:r w:rsidR="00B80E4F" w:rsidRPr="0003547D">
        <w:t>2001</w:t>
      </w:r>
      <w:r w:rsidR="00B80E4F">
        <w:t xml:space="preserve">), “Separating Continuing Medical Education from Pharmaceutical Marketing,” </w:t>
      </w:r>
      <w:r w:rsidR="00B80E4F" w:rsidRPr="00A759ED">
        <w:rPr>
          <w:i/>
          <w:iCs/>
        </w:rPr>
        <w:t>Journal of the American Medical Association</w:t>
      </w:r>
      <w:r w:rsidR="00B80E4F" w:rsidRPr="00A759ED">
        <w:t xml:space="preserve">, </w:t>
      </w:r>
      <w:r w:rsidR="00B80E4F">
        <w:rPr>
          <w:i/>
          <w:iCs/>
        </w:rPr>
        <w:t xml:space="preserve">285 </w:t>
      </w:r>
      <w:r w:rsidR="00B80E4F">
        <w:t>(15), 2009-2012</w:t>
      </w:r>
      <w:r w:rsidR="00B80E4F" w:rsidRPr="00A759ED">
        <w:t>.</w:t>
      </w:r>
    </w:p>
    <w:p w:rsidR="00B80E4F" w:rsidRDefault="00B80E4F" w:rsidP="00B80E4F">
      <w:pPr>
        <w:spacing w:before="240"/>
        <w:ind w:left="720" w:hanging="720"/>
      </w:pPr>
      <w:r w:rsidRPr="001D1739">
        <w:t>Ross</w:t>
      </w:r>
      <w:r>
        <w:t xml:space="preserve">, Joseph S., Kevin P. Hill, David S. Egilman, Harlan M. Krimholz </w:t>
      </w:r>
      <w:r w:rsidRPr="001D1739">
        <w:t>(2008)</w:t>
      </w:r>
      <w:r>
        <w:t>,</w:t>
      </w:r>
      <w:r w:rsidRPr="001D1739">
        <w:rPr>
          <w:color w:val="292526"/>
          <w:kern w:val="0"/>
        </w:rPr>
        <w:t xml:space="preserve"> </w:t>
      </w:r>
      <w:r>
        <w:rPr>
          <w:color w:val="292526"/>
          <w:kern w:val="0"/>
        </w:rPr>
        <w:t>“Guest A</w:t>
      </w:r>
      <w:r w:rsidRPr="001D1739">
        <w:rPr>
          <w:color w:val="292526"/>
          <w:kern w:val="0"/>
        </w:rPr>
        <w:t xml:space="preserve">uthorship </w:t>
      </w:r>
      <w:r>
        <w:rPr>
          <w:color w:val="292526"/>
          <w:kern w:val="0"/>
        </w:rPr>
        <w:t>a</w:t>
      </w:r>
      <w:r w:rsidRPr="001D1739">
        <w:rPr>
          <w:color w:val="292526"/>
          <w:kern w:val="0"/>
        </w:rPr>
        <w:t xml:space="preserve">nd </w:t>
      </w:r>
      <w:r>
        <w:rPr>
          <w:color w:val="292526"/>
          <w:kern w:val="0"/>
        </w:rPr>
        <w:t>G</w:t>
      </w:r>
      <w:r w:rsidRPr="001D1739">
        <w:rPr>
          <w:color w:val="292526"/>
          <w:kern w:val="0"/>
        </w:rPr>
        <w:t>hostwriting</w:t>
      </w:r>
      <w:r>
        <w:rPr>
          <w:color w:val="292526"/>
          <w:kern w:val="0"/>
        </w:rPr>
        <w:t xml:space="preserve"> in Publications R</w:t>
      </w:r>
      <w:r w:rsidRPr="001D1739">
        <w:rPr>
          <w:color w:val="292526"/>
          <w:kern w:val="0"/>
        </w:rPr>
        <w:t xml:space="preserve">elated </w:t>
      </w:r>
      <w:r>
        <w:rPr>
          <w:color w:val="292526"/>
          <w:kern w:val="0"/>
        </w:rPr>
        <w:t>t</w:t>
      </w:r>
      <w:r w:rsidRPr="001D1739">
        <w:rPr>
          <w:color w:val="292526"/>
          <w:kern w:val="0"/>
        </w:rPr>
        <w:t xml:space="preserve">o </w:t>
      </w:r>
      <w:r>
        <w:rPr>
          <w:color w:val="292526"/>
          <w:kern w:val="0"/>
        </w:rPr>
        <w:t>R</w:t>
      </w:r>
      <w:r w:rsidRPr="001D1739">
        <w:rPr>
          <w:color w:val="292526"/>
          <w:kern w:val="0"/>
        </w:rPr>
        <w:t>ofecoxib</w:t>
      </w:r>
      <w:r>
        <w:rPr>
          <w:color w:val="292526"/>
          <w:kern w:val="0"/>
        </w:rPr>
        <w:t>: A Case Study of Industry Documents from Rofecoxib L</w:t>
      </w:r>
      <w:r w:rsidRPr="001D1739">
        <w:rPr>
          <w:color w:val="292526"/>
          <w:kern w:val="0"/>
        </w:rPr>
        <w:t>itigation</w:t>
      </w:r>
      <w:r>
        <w:rPr>
          <w:color w:val="292526"/>
          <w:kern w:val="0"/>
        </w:rPr>
        <w:t xml:space="preserve">,” </w:t>
      </w:r>
      <w:r w:rsidRPr="00A759ED">
        <w:rPr>
          <w:i/>
          <w:iCs/>
        </w:rPr>
        <w:t>Journal of the American Medical Association</w:t>
      </w:r>
      <w:r w:rsidRPr="00A759ED">
        <w:t xml:space="preserve">, </w:t>
      </w:r>
      <w:r>
        <w:rPr>
          <w:i/>
          <w:iCs/>
        </w:rPr>
        <w:t xml:space="preserve">299 </w:t>
      </w:r>
      <w:r>
        <w:t>(15), 1800-1812.</w:t>
      </w:r>
    </w:p>
    <w:p w:rsidR="00B80E4F" w:rsidRDefault="00B80E4F" w:rsidP="00B80E4F">
      <w:pPr>
        <w:spacing w:before="240"/>
        <w:ind w:left="720" w:hanging="720"/>
      </w:pPr>
      <w:r w:rsidRPr="00247D06">
        <w:t>Ruef</w:t>
      </w:r>
      <w:r>
        <w:t>, Martin</w:t>
      </w:r>
      <w:r w:rsidRPr="00247D06">
        <w:t xml:space="preserve"> </w:t>
      </w:r>
      <w:r>
        <w:t>and</w:t>
      </w:r>
      <w:r w:rsidRPr="00247D06">
        <w:t xml:space="preserve"> </w:t>
      </w:r>
      <w:r>
        <w:t xml:space="preserve">Richard W. </w:t>
      </w:r>
      <w:r w:rsidRPr="00247D06">
        <w:t>Scott (1998</w:t>
      </w:r>
      <w:r>
        <w:t xml:space="preserve">), “A Multidimensional Model Of Organizational Legitimacy: Hospital Survival In Changing Institutional Environments,” </w:t>
      </w:r>
      <w:r w:rsidRPr="00247D06">
        <w:rPr>
          <w:i/>
          <w:iCs/>
        </w:rPr>
        <w:t>Administrative Science Quarterly</w:t>
      </w:r>
      <w:r>
        <w:t xml:space="preserve">, </w:t>
      </w:r>
      <w:r w:rsidRPr="00247D06">
        <w:rPr>
          <w:i/>
          <w:iCs/>
        </w:rPr>
        <w:t>43</w:t>
      </w:r>
      <w:r>
        <w:rPr>
          <w:i/>
          <w:iCs/>
        </w:rPr>
        <w:t xml:space="preserve"> </w:t>
      </w:r>
      <w:r>
        <w:t>(4), 877-904.</w:t>
      </w:r>
    </w:p>
    <w:p w:rsidR="00B80E4F" w:rsidRDefault="00B80E4F" w:rsidP="00B80E4F">
      <w:pPr>
        <w:spacing w:before="240"/>
        <w:ind w:left="720" w:hanging="720"/>
      </w:pPr>
      <w:r>
        <w:rPr>
          <w:rFonts w:ascii="Times-Roman" w:eastAsia="SimSun" w:hAnsi="Times-Roman" w:cs="Times-Roman"/>
          <w:lang w:eastAsia="zh-CN"/>
        </w:rPr>
        <w:t xml:space="preserve">Saul, Stephanie (2006), “Sales Pitch for Treatment,” (Accessed January 15, 2007), [Available at </w:t>
      </w:r>
      <w:r w:rsidRPr="007F3423">
        <w:t>nytimes.com/2006/12/01/business/01beamside.html?scp=2</w:t>
      </w:r>
      <w:r>
        <w:t>and</w:t>
      </w:r>
      <w:r w:rsidRPr="007F3423">
        <w:t>sq=Saul</w:t>
      </w:r>
      <w:r>
        <w:t>and</w:t>
      </w:r>
      <w:r w:rsidRPr="007F3423">
        <w:t>st=nyt</w:t>
      </w:r>
      <w:r>
        <w:t>].</w:t>
      </w:r>
      <w:r w:rsidRPr="007F3423">
        <w:t xml:space="preserve"> </w:t>
      </w:r>
    </w:p>
    <w:p w:rsidR="00B80E4F" w:rsidRDefault="00B80E4F" w:rsidP="001B002F">
      <w:pPr>
        <w:spacing w:before="240" w:after="240"/>
        <w:ind w:left="720" w:hanging="720"/>
      </w:pPr>
      <w:r w:rsidRPr="00F253F6">
        <w:t xml:space="preserve">Scott, </w:t>
      </w:r>
      <w:r>
        <w:t xml:space="preserve">Richard </w:t>
      </w:r>
      <w:r w:rsidRPr="00F253F6">
        <w:t>W</w:t>
      </w:r>
      <w:r>
        <w:t>.</w:t>
      </w:r>
      <w:r w:rsidRPr="00F253F6">
        <w:t xml:space="preserve"> (1987)</w:t>
      </w:r>
      <w:r>
        <w:t>,</w:t>
      </w:r>
      <w:r w:rsidRPr="00F253F6">
        <w:t xml:space="preserve"> </w:t>
      </w:r>
      <w:r w:rsidRPr="00F253F6">
        <w:rPr>
          <w:i/>
          <w:iCs/>
        </w:rPr>
        <w:t xml:space="preserve">Organizations: Rational, Natural, </w:t>
      </w:r>
      <w:r>
        <w:rPr>
          <w:i/>
          <w:iCs/>
        </w:rPr>
        <w:t>a</w:t>
      </w:r>
      <w:r w:rsidRPr="00F253F6">
        <w:rPr>
          <w:i/>
          <w:iCs/>
        </w:rPr>
        <w:t>nd Open Systems</w:t>
      </w:r>
      <w:r w:rsidRPr="00F253F6">
        <w:t xml:space="preserve">. </w:t>
      </w:r>
      <w:smartTag w:uri="urn:schemas-microsoft-com:office:smarttags" w:element="State">
        <w:smartTag w:uri="urn:schemas-microsoft-com:office:smarttags" w:element="place">
          <w:r w:rsidRPr="00F253F6">
            <w:t>New Jersey</w:t>
          </w:r>
        </w:smartTag>
      </w:smartTag>
      <w:r w:rsidRPr="00F253F6">
        <w:t xml:space="preserve">: Prentice-Hall. </w:t>
      </w:r>
    </w:p>
    <w:p w:rsidR="00B80E4F" w:rsidRDefault="00B80E4F" w:rsidP="001B002F">
      <w:pPr>
        <w:autoSpaceDE w:val="0"/>
        <w:autoSpaceDN w:val="0"/>
        <w:adjustRightInd w:val="0"/>
        <w:spacing w:after="240"/>
        <w:ind w:left="720" w:hanging="720"/>
      </w:pPr>
      <w:r>
        <w:t xml:space="preserve">___________  (2001), </w:t>
      </w:r>
      <w:r w:rsidRPr="00517713">
        <w:rPr>
          <w:bCs/>
          <w:i/>
          <w:iCs/>
          <w:kern w:val="0"/>
        </w:rPr>
        <w:t xml:space="preserve">Institutions and </w:t>
      </w:r>
      <w:r>
        <w:rPr>
          <w:bCs/>
          <w:i/>
          <w:iCs/>
          <w:kern w:val="0"/>
        </w:rPr>
        <w:t>O</w:t>
      </w:r>
      <w:r w:rsidRPr="00517713">
        <w:rPr>
          <w:bCs/>
          <w:i/>
          <w:iCs/>
          <w:kern w:val="0"/>
        </w:rPr>
        <w:t>rganizations</w:t>
      </w:r>
      <w:r>
        <w:rPr>
          <w:bCs/>
          <w:i/>
          <w:iCs/>
          <w:kern w:val="0"/>
        </w:rPr>
        <w:t xml:space="preserve">. </w:t>
      </w:r>
      <w:r w:rsidRPr="00517713">
        <w:rPr>
          <w:kern w:val="0"/>
        </w:rPr>
        <w:t>Thousand Oaks, GA: Sage.</w:t>
      </w:r>
    </w:p>
    <w:p w:rsidR="00B80E4F" w:rsidRPr="00A776AA" w:rsidRDefault="00B80E4F" w:rsidP="00B80E4F">
      <w:pPr>
        <w:spacing w:before="240"/>
        <w:ind w:left="720" w:hanging="720"/>
      </w:pPr>
      <w:r w:rsidRPr="00A776AA">
        <w:t>Shapiro, S</w:t>
      </w:r>
      <w:r>
        <w:t>usan</w:t>
      </w:r>
      <w:r w:rsidRPr="00A776AA">
        <w:t xml:space="preserve"> P. (1987)</w:t>
      </w:r>
      <w:r>
        <w:t>,</w:t>
      </w:r>
      <w:r w:rsidRPr="00A776AA">
        <w:t xml:space="preserve"> </w:t>
      </w:r>
      <w:r>
        <w:t>“</w:t>
      </w:r>
      <w:r w:rsidRPr="00A776AA">
        <w:t xml:space="preserve">The Social Control </w:t>
      </w:r>
      <w:r>
        <w:t>o</w:t>
      </w:r>
      <w:r w:rsidRPr="00A776AA">
        <w:t>f Impersonal Trust</w:t>
      </w:r>
      <w:r>
        <w:t xml:space="preserve">,” </w:t>
      </w:r>
      <w:r w:rsidRPr="00A776AA">
        <w:rPr>
          <w:i/>
          <w:iCs/>
        </w:rPr>
        <w:t>American Journal of Sociology</w:t>
      </w:r>
      <w:r w:rsidRPr="00A776AA">
        <w:t xml:space="preserve">, </w:t>
      </w:r>
      <w:r w:rsidRPr="00EC4CC6">
        <w:rPr>
          <w:iCs/>
        </w:rPr>
        <w:t xml:space="preserve">93 </w:t>
      </w:r>
      <w:r w:rsidRPr="00EC4CC6">
        <w:t>(3),</w:t>
      </w:r>
      <w:r w:rsidRPr="00A776AA">
        <w:t xml:space="preserve"> 623-658.</w:t>
      </w:r>
    </w:p>
    <w:p w:rsidR="00B80E4F" w:rsidRPr="00A776AA" w:rsidRDefault="00B80E4F" w:rsidP="00B80E4F">
      <w:pPr>
        <w:autoSpaceDE w:val="0"/>
        <w:autoSpaceDN w:val="0"/>
        <w:adjustRightInd w:val="0"/>
        <w:spacing w:before="240"/>
        <w:ind w:left="720" w:hanging="720"/>
      </w:pPr>
      <w:r>
        <w:t>__________</w:t>
      </w:r>
      <w:r w:rsidRPr="00A776AA">
        <w:t xml:space="preserve"> (2005)</w:t>
      </w:r>
      <w:r>
        <w:t>,</w:t>
      </w:r>
      <w:r w:rsidRPr="00A776AA">
        <w:t xml:space="preserve"> </w:t>
      </w:r>
      <w:r>
        <w:t>“</w:t>
      </w:r>
      <w:r w:rsidRPr="00A776AA">
        <w:t xml:space="preserve">Agency </w:t>
      </w:r>
      <w:r>
        <w:t>T</w:t>
      </w:r>
      <w:r w:rsidRPr="00A776AA">
        <w:t>heory</w:t>
      </w:r>
      <w:r>
        <w:t>,”</w:t>
      </w:r>
      <w:r w:rsidRPr="00A776AA">
        <w:t xml:space="preserve"> </w:t>
      </w:r>
      <w:r w:rsidRPr="00A776AA">
        <w:rPr>
          <w:i/>
          <w:iCs/>
        </w:rPr>
        <w:t>Annual Review of Sociology,</w:t>
      </w:r>
      <w:r w:rsidRPr="00EC4CC6">
        <w:rPr>
          <w:iCs/>
        </w:rPr>
        <w:t xml:space="preserve"> 31</w:t>
      </w:r>
      <w:r w:rsidRPr="00A776AA">
        <w:t>(1), 263-284.</w:t>
      </w:r>
    </w:p>
    <w:p w:rsidR="00B80E4F" w:rsidRPr="00A776AA" w:rsidRDefault="00B80E4F" w:rsidP="00B80E4F">
      <w:pPr>
        <w:spacing w:before="240"/>
        <w:ind w:left="720" w:hanging="720"/>
      </w:pPr>
      <w:r w:rsidRPr="00A776AA">
        <w:t>Starr, P</w:t>
      </w:r>
      <w:r>
        <w:t>aul</w:t>
      </w:r>
      <w:r w:rsidRPr="00A776AA">
        <w:t xml:space="preserve"> (1982)</w:t>
      </w:r>
      <w:r>
        <w:t>,</w:t>
      </w:r>
      <w:r w:rsidRPr="00A776AA">
        <w:t xml:space="preserve"> </w:t>
      </w:r>
      <w:r w:rsidRPr="00A776AA">
        <w:rPr>
          <w:i/>
          <w:iCs/>
        </w:rPr>
        <w:t xml:space="preserve">The Social Transformation </w:t>
      </w:r>
      <w:r>
        <w:rPr>
          <w:i/>
          <w:iCs/>
        </w:rPr>
        <w:t>o</w:t>
      </w:r>
      <w:r w:rsidRPr="00A776AA">
        <w:rPr>
          <w:i/>
          <w:iCs/>
        </w:rPr>
        <w:t xml:space="preserve">f American Medicine. </w:t>
      </w:r>
      <w:r w:rsidRPr="00A776AA">
        <w:t>New York:</w:t>
      </w:r>
      <w:r>
        <w:t xml:space="preserve"> </w:t>
      </w:r>
      <w:r w:rsidRPr="00A776AA">
        <w:t>Basic Books.</w:t>
      </w:r>
    </w:p>
    <w:p w:rsidR="00B80E4F" w:rsidRDefault="00B80E4F" w:rsidP="00B80E4F">
      <w:pPr>
        <w:spacing w:before="240"/>
        <w:ind w:left="720" w:hanging="720"/>
      </w:pPr>
      <w:r w:rsidRPr="001D1739">
        <w:t>Steinbrook,</w:t>
      </w:r>
      <w:r>
        <w:t xml:space="preserve"> Robert L. (2008</w:t>
      </w:r>
      <w:r w:rsidRPr="00A81F31">
        <w:t>)</w:t>
      </w:r>
      <w:r>
        <w:t xml:space="preserve">, “Financial Support Of Continuing Medical Education,” </w:t>
      </w:r>
      <w:r w:rsidRPr="00A759ED">
        <w:rPr>
          <w:i/>
          <w:iCs/>
        </w:rPr>
        <w:t>Journal of the American Medical Association</w:t>
      </w:r>
      <w:r w:rsidRPr="00A759ED">
        <w:t xml:space="preserve">, </w:t>
      </w:r>
      <w:r>
        <w:rPr>
          <w:i/>
          <w:iCs/>
        </w:rPr>
        <w:t xml:space="preserve">299 </w:t>
      </w:r>
      <w:r>
        <w:t>(9), 1060-1062.</w:t>
      </w:r>
    </w:p>
    <w:p w:rsidR="00B80E4F" w:rsidRPr="00A81F31" w:rsidRDefault="00B80E4F" w:rsidP="00B80E4F">
      <w:pPr>
        <w:spacing w:before="240"/>
        <w:ind w:left="720" w:hanging="720"/>
        <w:rPr>
          <w:highlight w:val="yellow"/>
        </w:rPr>
      </w:pPr>
      <w:r>
        <w:t>__________ (2006</w:t>
      </w:r>
      <w:r w:rsidRPr="00A81F31">
        <w:t>)</w:t>
      </w:r>
      <w:r>
        <w:t>,</w:t>
      </w:r>
      <w:r w:rsidRPr="00A81F31">
        <w:t xml:space="preserve"> </w:t>
      </w:r>
      <w:r>
        <w:t>“For Sale: Physicians’ Prescribing Data,”</w:t>
      </w:r>
      <w:r w:rsidRPr="00A81F31">
        <w:t xml:space="preserve"> </w:t>
      </w:r>
      <w:r w:rsidRPr="00A81F31">
        <w:rPr>
          <w:i/>
          <w:iCs/>
          <w:kern w:val="0"/>
        </w:rPr>
        <w:t>The New England Journal of Medicine</w:t>
      </w:r>
      <w:r w:rsidRPr="00A81F31">
        <w:rPr>
          <w:kern w:val="0"/>
        </w:rPr>
        <w:t xml:space="preserve">, </w:t>
      </w:r>
      <w:r w:rsidRPr="00A81F31">
        <w:rPr>
          <w:i/>
          <w:iCs/>
          <w:kern w:val="0"/>
        </w:rPr>
        <w:t>35</w:t>
      </w:r>
      <w:r>
        <w:rPr>
          <w:i/>
          <w:iCs/>
          <w:kern w:val="0"/>
        </w:rPr>
        <w:t>4</w:t>
      </w:r>
      <w:r>
        <w:rPr>
          <w:kern w:val="0"/>
        </w:rPr>
        <w:t xml:space="preserve">, </w:t>
      </w:r>
      <w:r w:rsidRPr="00A81F31">
        <w:rPr>
          <w:kern w:val="0"/>
        </w:rPr>
        <w:t>2</w:t>
      </w:r>
      <w:r>
        <w:rPr>
          <w:kern w:val="0"/>
        </w:rPr>
        <w:t>745-2747</w:t>
      </w:r>
      <w:r w:rsidRPr="00A81F31">
        <w:rPr>
          <w:kern w:val="0"/>
        </w:rPr>
        <w:t>.</w:t>
      </w:r>
    </w:p>
    <w:p w:rsidR="00B80E4F" w:rsidRPr="00A81F31" w:rsidRDefault="00B80E4F" w:rsidP="00B80E4F">
      <w:pPr>
        <w:spacing w:before="240"/>
        <w:ind w:left="720" w:hanging="720"/>
      </w:pPr>
      <w:r w:rsidRPr="00A81F31">
        <w:t xml:space="preserve">Steinman, </w:t>
      </w:r>
      <w:r w:rsidRPr="00D076D2">
        <w:t>M</w:t>
      </w:r>
      <w:r>
        <w:t>ichael</w:t>
      </w:r>
      <w:r w:rsidRPr="00D076D2">
        <w:t xml:space="preserve"> A. </w:t>
      </w:r>
      <w:r>
        <w:t>and</w:t>
      </w:r>
      <w:r w:rsidRPr="00D076D2">
        <w:t xml:space="preserve"> </w:t>
      </w:r>
      <w:r>
        <w:t xml:space="preserve">Robert B. </w:t>
      </w:r>
      <w:r w:rsidRPr="00D076D2">
        <w:t>Baron (2007)</w:t>
      </w:r>
      <w:r>
        <w:t>,</w:t>
      </w:r>
      <w:r w:rsidRPr="00D076D2">
        <w:t xml:space="preserve"> </w:t>
      </w:r>
      <w:r>
        <w:t>“</w:t>
      </w:r>
      <w:r w:rsidRPr="005E1F85">
        <w:t xml:space="preserve">Is Continuing Medical Education </w:t>
      </w:r>
      <w:r>
        <w:t>a</w:t>
      </w:r>
      <w:r w:rsidRPr="005E1F85">
        <w:t xml:space="preserve"> Drug-Promotion Tool?</w:t>
      </w:r>
      <w:r>
        <w:t>”</w:t>
      </w:r>
      <w:r>
        <w:rPr>
          <w:rStyle w:val="Hyperlink1"/>
        </w:rPr>
        <w:t xml:space="preserve"> </w:t>
      </w:r>
      <w:r w:rsidRPr="00D076D2">
        <w:rPr>
          <w:rStyle w:val="a"/>
          <w:i/>
          <w:iCs/>
        </w:rPr>
        <w:t>Canadian</w:t>
      </w:r>
      <w:r w:rsidRPr="00A81F31">
        <w:rPr>
          <w:rStyle w:val="a"/>
          <w:i/>
          <w:iCs/>
        </w:rPr>
        <w:t xml:space="preserve"> Family Physician,</w:t>
      </w:r>
      <w:r w:rsidRPr="00A81F31">
        <w:rPr>
          <w:rStyle w:val="a"/>
        </w:rPr>
        <w:t xml:space="preserve"> </w:t>
      </w:r>
      <w:r w:rsidRPr="00D076D2">
        <w:rPr>
          <w:rStyle w:val="a"/>
          <w:i/>
          <w:iCs/>
        </w:rPr>
        <w:t>53</w:t>
      </w:r>
      <w:r>
        <w:rPr>
          <w:rStyle w:val="a"/>
          <w:i/>
          <w:iCs/>
        </w:rPr>
        <w:t xml:space="preserve"> </w:t>
      </w:r>
      <w:r w:rsidRPr="00A81F31">
        <w:rPr>
          <w:rStyle w:val="a"/>
        </w:rPr>
        <w:t>(</w:t>
      </w:r>
      <w:r>
        <w:rPr>
          <w:rStyle w:val="a"/>
        </w:rPr>
        <w:t>10</w:t>
      </w:r>
      <w:r w:rsidRPr="00A81F31">
        <w:rPr>
          <w:rStyle w:val="a"/>
        </w:rPr>
        <w:t>), 1650-53.</w:t>
      </w:r>
    </w:p>
    <w:p w:rsidR="00B80E4F" w:rsidRDefault="00B80E4F" w:rsidP="00B80E4F">
      <w:pPr>
        <w:spacing w:before="240"/>
        <w:ind w:left="720" w:hanging="720"/>
      </w:pPr>
      <w:r>
        <w:t>__________</w:t>
      </w:r>
      <w:r w:rsidRPr="009103B5">
        <w:t xml:space="preserve">, </w:t>
      </w:r>
      <w:r>
        <w:t xml:space="preserve">Lisa A. </w:t>
      </w:r>
      <w:r w:rsidRPr="009103B5">
        <w:t>Bero</w:t>
      </w:r>
      <w:r>
        <w:t>, Mary Margaret</w:t>
      </w:r>
      <w:r w:rsidRPr="009103B5">
        <w:t xml:space="preserve"> Chren, </w:t>
      </w:r>
      <w:r>
        <w:t>and</w:t>
      </w:r>
      <w:r w:rsidRPr="009103B5">
        <w:t xml:space="preserve"> </w:t>
      </w:r>
      <w:r>
        <w:t xml:space="preserve">C. Seth </w:t>
      </w:r>
      <w:r w:rsidRPr="009103B5">
        <w:t>Landefeld (2006)</w:t>
      </w:r>
      <w:r>
        <w:t>,</w:t>
      </w:r>
      <w:r w:rsidRPr="009103B5">
        <w:t xml:space="preserve"> </w:t>
      </w:r>
      <w:r>
        <w:t xml:space="preserve">“Narrative Review: </w:t>
      </w:r>
      <w:r w:rsidRPr="00A759ED">
        <w:t xml:space="preserve">The </w:t>
      </w:r>
      <w:r>
        <w:t>Promotion of G</w:t>
      </w:r>
      <w:r w:rsidRPr="00A759ED">
        <w:t>abap</w:t>
      </w:r>
      <w:r>
        <w:t>entin: An A</w:t>
      </w:r>
      <w:r w:rsidRPr="00A759ED">
        <w:t xml:space="preserve">nalysis </w:t>
      </w:r>
      <w:r>
        <w:t>of Internal Industry Documents,”</w:t>
      </w:r>
      <w:r w:rsidRPr="00A759ED">
        <w:t xml:space="preserve"> </w:t>
      </w:r>
      <w:r w:rsidRPr="00A759ED">
        <w:rPr>
          <w:i/>
          <w:iCs/>
        </w:rPr>
        <w:t>Annals of Internal Medicine</w:t>
      </w:r>
      <w:r w:rsidRPr="00A759ED">
        <w:t>,</w:t>
      </w:r>
      <w:r>
        <w:t xml:space="preserve"> </w:t>
      </w:r>
      <w:r w:rsidRPr="002D246C">
        <w:rPr>
          <w:i/>
          <w:iCs/>
        </w:rPr>
        <w:t>145</w:t>
      </w:r>
      <w:r>
        <w:rPr>
          <w:i/>
          <w:iCs/>
        </w:rPr>
        <w:t xml:space="preserve"> </w:t>
      </w:r>
      <w:r w:rsidRPr="00315EF1">
        <w:t>(4), 284-</w:t>
      </w:r>
      <w:r>
        <w:t>2</w:t>
      </w:r>
      <w:r w:rsidRPr="00315EF1">
        <w:t>93.</w:t>
      </w:r>
    </w:p>
    <w:p w:rsidR="00B80E4F" w:rsidRDefault="00B80E4F" w:rsidP="00B80E4F">
      <w:pPr>
        <w:spacing w:before="240"/>
        <w:ind w:left="720" w:hanging="720"/>
      </w:pPr>
      <w:r w:rsidRPr="00DE5345">
        <w:rPr>
          <w:lang w:val="de-DE"/>
        </w:rPr>
        <w:t>Stern, R</w:t>
      </w:r>
      <w:r>
        <w:rPr>
          <w:lang w:val="de-DE"/>
        </w:rPr>
        <w:t>obert</w:t>
      </w:r>
      <w:r w:rsidRPr="00DE5345">
        <w:rPr>
          <w:lang w:val="de-DE"/>
        </w:rPr>
        <w:t xml:space="preserve"> N. </w:t>
      </w:r>
      <w:r>
        <w:rPr>
          <w:lang w:val="de-DE"/>
        </w:rPr>
        <w:t>and</w:t>
      </w:r>
      <w:r w:rsidRPr="00DE5345">
        <w:rPr>
          <w:lang w:val="de-DE"/>
        </w:rPr>
        <w:t xml:space="preserve"> </w:t>
      </w:r>
      <w:r>
        <w:rPr>
          <w:lang w:val="de-DE"/>
        </w:rPr>
        <w:t xml:space="preserve">Stephen R. </w:t>
      </w:r>
      <w:r w:rsidRPr="00DE5345">
        <w:rPr>
          <w:lang w:val="de-DE"/>
        </w:rPr>
        <w:t>Barley (1996)</w:t>
      </w:r>
      <w:r>
        <w:rPr>
          <w:lang w:val="de-DE"/>
        </w:rPr>
        <w:t>,</w:t>
      </w:r>
      <w:r w:rsidRPr="00DE5345">
        <w:rPr>
          <w:lang w:val="de-DE"/>
        </w:rPr>
        <w:t xml:space="preserve"> </w:t>
      </w:r>
      <w:r>
        <w:rPr>
          <w:lang w:val="de-DE"/>
        </w:rPr>
        <w:t>“</w:t>
      </w:r>
      <w:r>
        <w:t xml:space="preserve">Organizations and Social Systems: Organization Theory’s Neglected Mandate,” </w:t>
      </w:r>
      <w:r w:rsidRPr="00B41C1C">
        <w:rPr>
          <w:i/>
          <w:iCs/>
        </w:rPr>
        <w:t>Administrative Science Quarterly</w:t>
      </w:r>
      <w:r>
        <w:t xml:space="preserve">, </w:t>
      </w:r>
      <w:r w:rsidRPr="002B7764">
        <w:rPr>
          <w:iCs/>
        </w:rPr>
        <w:t>41</w:t>
      </w:r>
      <w:r>
        <w:rPr>
          <w:iCs/>
        </w:rPr>
        <w:t>(1)</w:t>
      </w:r>
      <w:r w:rsidRPr="002B7764">
        <w:t>,</w:t>
      </w:r>
      <w:r>
        <w:t xml:space="preserve"> 146-162.</w:t>
      </w:r>
    </w:p>
    <w:p w:rsidR="00B80E4F" w:rsidRDefault="00B80E4F" w:rsidP="00B80E4F">
      <w:pPr>
        <w:spacing w:before="240"/>
        <w:ind w:left="720" w:hanging="720"/>
      </w:pPr>
      <w:r>
        <w:t xml:space="preserve">Studdert, David M., Michelle M. Mello, and Troyen A. Brennan (2004), “Financial Conflicts of Interest in Physicians’ </w:t>
      </w:r>
      <w:r w:rsidRPr="00B30E0E">
        <w:t xml:space="preserve">Relationships </w:t>
      </w:r>
      <w:r>
        <w:t>w</w:t>
      </w:r>
      <w:r w:rsidRPr="00B30E0E">
        <w:t xml:space="preserve">ith </w:t>
      </w:r>
      <w:r>
        <w:t>t</w:t>
      </w:r>
      <w:r w:rsidRPr="00B30E0E">
        <w:t>he Pharmaceutical Industry</w:t>
      </w:r>
      <w:r>
        <w:t>,”</w:t>
      </w:r>
      <w:r w:rsidRPr="00B30E0E">
        <w:rPr>
          <w:i/>
          <w:iCs/>
          <w:kern w:val="0"/>
        </w:rPr>
        <w:t xml:space="preserve"> New England Journal of Medicine</w:t>
      </w:r>
      <w:r>
        <w:rPr>
          <w:kern w:val="0"/>
        </w:rPr>
        <w:t xml:space="preserve">, </w:t>
      </w:r>
      <w:r w:rsidRPr="00B30E0E">
        <w:rPr>
          <w:i/>
          <w:iCs/>
          <w:kern w:val="0"/>
        </w:rPr>
        <w:t>351</w:t>
      </w:r>
      <w:r>
        <w:rPr>
          <w:kern w:val="0"/>
        </w:rPr>
        <w:t>(18), 1891-1900.</w:t>
      </w:r>
      <w:r w:rsidRPr="004F3E96">
        <w:t xml:space="preserve"> </w:t>
      </w:r>
    </w:p>
    <w:p w:rsidR="00B80E4F" w:rsidRDefault="00B80E4F" w:rsidP="00B80E4F">
      <w:pPr>
        <w:spacing w:before="240"/>
        <w:ind w:left="720" w:hanging="720"/>
      </w:pPr>
      <w:r w:rsidRPr="00E62C8A">
        <w:t xml:space="preserve">Suchman, </w:t>
      </w:r>
      <w:r>
        <w:t>Mark C. (</w:t>
      </w:r>
      <w:r w:rsidRPr="00E62C8A">
        <w:t>1995</w:t>
      </w:r>
      <w:r>
        <w:t xml:space="preserve">), “Managing Legitimacy: Strategic and Institutional Approaches,” </w:t>
      </w:r>
      <w:r w:rsidRPr="00E62C8A">
        <w:rPr>
          <w:i/>
          <w:iCs/>
        </w:rPr>
        <w:t>Academy of Management Review</w:t>
      </w:r>
      <w:r>
        <w:t xml:space="preserve">, </w:t>
      </w:r>
      <w:r w:rsidRPr="00E72CF6">
        <w:rPr>
          <w:i/>
          <w:iCs/>
        </w:rPr>
        <w:t>20</w:t>
      </w:r>
      <w:r>
        <w:rPr>
          <w:i/>
          <w:iCs/>
        </w:rPr>
        <w:t>(3)</w:t>
      </w:r>
      <w:r>
        <w:t>, 571-610.</w:t>
      </w:r>
    </w:p>
    <w:p w:rsidR="00B80E4F" w:rsidRDefault="00B80E4F" w:rsidP="00B80E4F">
      <w:pPr>
        <w:spacing w:before="240"/>
        <w:ind w:left="720" w:hanging="720"/>
        <w:rPr>
          <w:color w:val="292526"/>
          <w:kern w:val="0"/>
        </w:rPr>
      </w:pPr>
      <w:r w:rsidRPr="003D7E34">
        <w:rPr>
          <w:color w:val="292526"/>
          <w:kern w:val="0"/>
        </w:rPr>
        <w:lastRenderedPageBreak/>
        <w:t>Turner</w:t>
      </w:r>
      <w:r>
        <w:rPr>
          <w:color w:val="292526"/>
          <w:kern w:val="0"/>
        </w:rPr>
        <w:t>,</w:t>
      </w:r>
      <w:r w:rsidRPr="003D7E34">
        <w:rPr>
          <w:color w:val="292526"/>
          <w:kern w:val="0"/>
        </w:rPr>
        <w:t xml:space="preserve"> E</w:t>
      </w:r>
      <w:r>
        <w:rPr>
          <w:color w:val="292526"/>
          <w:kern w:val="0"/>
        </w:rPr>
        <w:t xml:space="preserve">ric </w:t>
      </w:r>
      <w:r w:rsidRPr="003D7E34">
        <w:rPr>
          <w:color w:val="292526"/>
          <w:kern w:val="0"/>
        </w:rPr>
        <w:t>H</w:t>
      </w:r>
      <w:r>
        <w:rPr>
          <w:color w:val="292526"/>
          <w:kern w:val="0"/>
        </w:rPr>
        <w:t>.</w:t>
      </w:r>
      <w:r w:rsidRPr="003D7E34">
        <w:rPr>
          <w:color w:val="292526"/>
          <w:kern w:val="0"/>
        </w:rPr>
        <w:t xml:space="preserve">, </w:t>
      </w:r>
      <w:r>
        <w:rPr>
          <w:color w:val="292526"/>
          <w:kern w:val="0"/>
        </w:rPr>
        <w:t xml:space="preserve">Annette M. </w:t>
      </w:r>
      <w:r w:rsidRPr="003D7E34">
        <w:rPr>
          <w:color w:val="292526"/>
          <w:kern w:val="0"/>
        </w:rPr>
        <w:t>Matthews</w:t>
      </w:r>
      <w:r>
        <w:rPr>
          <w:color w:val="292526"/>
          <w:kern w:val="0"/>
        </w:rPr>
        <w:t>,</w:t>
      </w:r>
      <w:r w:rsidRPr="003D7E34">
        <w:rPr>
          <w:color w:val="292526"/>
          <w:kern w:val="0"/>
        </w:rPr>
        <w:t xml:space="preserve"> </w:t>
      </w:r>
      <w:r>
        <w:rPr>
          <w:color w:val="292526"/>
          <w:kern w:val="0"/>
        </w:rPr>
        <w:t xml:space="preserve">Eftihia </w:t>
      </w:r>
      <w:r w:rsidRPr="003D7E34">
        <w:rPr>
          <w:color w:val="292526"/>
          <w:kern w:val="0"/>
        </w:rPr>
        <w:t>Linardatos</w:t>
      </w:r>
      <w:r>
        <w:rPr>
          <w:color w:val="292526"/>
          <w:kern w:val="0"/>
        </w:rPr>
        <w:t>,</w:t>
      </w:r>
      <w:r w:rsidRPr="003D7E34">
        <w:rPr>
          <w:color w:val="292526"/>
          <w:kern w:val="0"/>
        </w:rPr>
        <w:t xml:space="preserve"> </w:t>
      </w:r>
      <w:r>
        <w:rPr>
          <w:color w:val="292526"/>
          <w:kern w:val="0"/>
        </w:rPr>
        <w:t xml:space="preserve">Robert A. </w:t>
      </w:r>
      <w:r w:rsidRPr="003D7E34">
        <w:rPr>
          <w:color w:val="292526"/>
          <w:kern w:val="0"/>
        </w:rPr>
        <w:t>Tell</w:t>
      </w:r>
      <w:r>
        <w:rPr>
          <w:color w:val="292526"/>
          <w:kern w:val="0"/>
        </w:rPr>
        <w:t>,</w:t>
      </w:r>
      <w:r w:rsidRPr="003D7E34">
        <w:rPr>
          <w:color w:val="292526"/>
          <w:kern w:val="0"/>
        </w:rPr>
        <w:t xml:space="preserve"> </w:t>
      </w:r>
      <w:r>
        <w:rPr>
          <w:color w:val="292526"/>
          <w:kern w:val="0"/>
        </w:rPr>
        <w:t xml:space="preserve">and Robert </w:t>
      </w:r>
      <w:r w:rsidRPr="003D7E34">
        <w:rPr>
          <w:color w:val="292526"/>
          <w:kern w:val="0"/>
        </w:rPr>
        <w:t xml:space="preserve">Rosenthal </w:t>
      </w:r>
      <w:r>
        <w:rPr>
          <w:color w:val="292526"/>
          <w:kern w:val="0"/>
        </w:rPr>
        <w:t>(2008), “</w:t>
      </w:r>
      <w:r w:rsidRPr="003D7E34">
        <w:rPr>
          <w:color w:val="292526"/>
          <w:kern w:val="0"/>
        </w:rPr>
        <w:t xml:space="preserve">Selective Publication </w:t>
      </w:r>
      <w:r>
        <w:rPr>
          <w:color w:val="292526"/>
          <w:kern w:val="0"/>
        </w:rPr>
        <w:t>o</w:t>
      </w:r>
      <w:r w:rsidRPr="003D7E34">
        <w:rPr>
          <w:color w:val="292526"/>
          <w:kern w:val="0"/>
        </w:rPr>
        <w:t xml:space="preserve">f Antidepressant Trials </w:t>
      </w:r>
      <w:r>
        <w:rPr>
          <w:color w:val="292526"/>
          <w:kern w:val="0"/>
        </w:rPr>
        <w:t>a</w:t>
      </w:r>
      <w:r w:rsidRPr="003D7E34">
        <w:rPr>
          <w:color w:val="292526"/>
          <w:kern w:val="0"/>
        </w:rPr>
        <w:t xml:space="preserve">nd </w:t>
      </w:r>
      <w:r>
        <w:rPr>
          <w:color w:val="292526"/>
          <w:kern w:val="0"/>
        </w:rPr>
        <w:t>i</w:t>
      </w:r>
      <w:r w:rsidRPr="003D7E34">
        <w:rPr>
          <w:color w:val="292526"/>
          <w:kern w:val="0"/>
        </w:rPr>
        <w:t xml:space="preserve">ts Influence </w:t>
      </w:r>
      <w:r>
        <w:rPr>
          <w:color w:val="292526"/>
          <w:kern w:val="0"/>
        </w:rPr>
        <w:t>o</w:t>
      </w:r>
      <w:r w:rsidRPr="003D7E34">
        <w:rPr>
          <w:color w:val="292526"/>
          <w:kern w:val="0"/>
        </w:rPr>
        <w:t>n Apparent Efficacy</w:t>
      </w:r>
      <w:r>
        <w:rPr>
          <w:color w:val="292526"/>
          <w:kern w:val="0"/>
        </w:rPr>
        <w:t>,”</w:t>
      </w:r>
      <w:r w:rsidRPr="003D7E34">
        <w:rPr>
          <w:color w:val="292526"/>
          <w:kern w:val="0"/>
        </w:rPr>
        <w:t xml:space="preserve"> </w:t>
      </w:r>
      <w:r w:rsidRPr="003D7E34">
        <w:rPr>
          <w:i/>
          <w:iCs/>
          <w:color w:val="292526"/>
          <w:kern w:val="0"/>
        </w:rPr>
        <w:t>N</w:t>
      </w:r>
      <w:r>
        <w:rPr>
          <w:i/>
          <w:iCs/>
          <w:color w:val="292526"/>
          <w:kern w:val="0"/>
        </w:rPr>
        <w:t>ew</w:t>
      </w:r>
      <w:r w:rsidRPr="003D7E34">
        <w:rPr>
          <w:i/>
          <w:iCs/>
          <w:color w:val="292526"/>
          <w:kern w:val="0"/>
        </w:rPr>
        <w:t xml:space="preserve"> Engl</w:t>
      </w:r>
      <w:r>
        <w:rPr>
          <w:i/>
          <w:iCs/>
          <w:color w:val="292526"/>
          <w:kern w:val="0"/>
        </w:rPr>
        <w:t>and</w:t>
      </w:r>
      <w:r w:rsidRPr="003D7E34">
        <w:rPr>
          <w:i/>
          <w:iCs/>
          <w:color w:val="292526"/>
          <w:kern w:val="0"/>
        </w:rPr>
        <w:t xml:space="preserve"> J</w:t>
      </w:r>
      <w:r>
        <w:rPr>
          <w:i/>
          <w:iCs/>
          <w:color w:val="292526"/>
          <w:kern w:val="0"/>
        </w:rPr>
        <w:t>ournal of</w:t>
      </w:r>
      <w:r w:rsidRPr="003D7E34">
        <w:rPr>
          <w:i/>
          <w:iCs/>
          <w:color w:val="292526"/>
          <w:kern w:val="0"/>
        </w:rPr>
        <w:t xml:space="preserve"> Med</w:t>
      </w:r>
      <w:r>
        <w:rPr>
          <w:i/>
          <w:iCs/>
          <w:color w:val="292526"/>
          <w:kern w:val="0"/>
        </w:rPr>
        <w:t>icine,</w:t>
      </w:r>
      <w:r w:rsidRPr="003D7E34">
        <w:rPr>
          <w:color w:val="292526"/>
          <w:kern w:val="0"/>
        </w:rPr>
        <w:t xml:space="preserve"> </w:t>
      </w:r>
      <w:r w:rsidRPr="003D7E34">
        <w:rPr>
          <w:i/>
          <w:iCs/>
          <w:color w:val="292526"/>
          <w:kern w:val="0"/>
        </w:rPr>
        <w:t>358</w:t>
      </w:r>
      <w:r>
        <w:rPr>
          <w:i/>
          <w:iCs/>
          <w:color w:val="292526"/>
          <w:kern w:val="0"/>
        </w:rPr>
        <w:t xml:space="preserve"> </w:t>
      </w:r>
      <w:r>
        <w:rPr>
          <w:color w:val="292526"/>
          <w:kern w:val="0"/>
        </w:rPr>
        <w:t xml:space="preserve">(Jan), </w:t>
      </w:r>
      <w:r w:rsidRPr="003D7E34">
        <w:rPr>
          <w:color w:val="292526"/>
          <w:kern w:val="0"/>
        </w:rPr>
        <w:t>252-260.</w:t>
      </w:r>
    </w:p>
    <w:p w:rsidR="00B80E4F" w:rsidRDefault="00B80E4F" w:rsidP="00B80E4F">
      <w:pPr>
        <w:spacing w:before="240"/>
        <w:ind w:left="720" w:hanging="720"/>
        <w:rPr>
          <w:rFonts w:ascii="Times-Roman" w:hAnsi="Times-Roman" w:cs="Times-Roman"/>
          <w:kern w:val="0"/>
        </w:rPr>
      </w:pPr>
      <w:r>
        <w:rPr>
          <w:rFonts w:ascii="Times-Roman" w:hAnsi="Times-Roman" w:cs="Times-Roman"/>
          <w:kern w:val="0"/>
        </w:rPr>
        <w:t xml:space="preserve">Tyler, Tom R. (2006), “Psychological Perspectives on Legitimacy and Legitimation,” </w:t>
      </w:r>
      <w:r w:rsidRPr="003E1B4A">
        <w:rPr>
          <w:rFonts w:ascii="Times-Roman" w:hAnsi="Times-Roman" w:cs="Times-Roman"/>
          <w:i/>
          <w:iCs/>
          <w:kern w:val="0"/>
        </w:rPr>
        <w:t>Annual Review of Psychology</w:t>
      </w:r>
      <w:r>
        <w:rPr>
          <w:rFonts w:ascii="Times-Roman" w:hAnsi="Times-Roman" w:cs="Times-Roman"/>
          <w:kern w:val="0"/>
        </w:rPr>
        <w:t xml:space="preserve">, </w:t>
      </w:r>
      <w:r w:rsidRPr="003E1B4A">
        <w:rPr>
          <w:rFonts w:ascii="Times-Roman" w:hAnsi="Times-Roman" w:cs="Times-Roman"/>
          <w:i/>
          <w:iCs/>
          <w:kern w:val="0"/>
        </w:rPr>
        <w:t>57</w:t>
      </w:r>
      <w:r>
        <w:rPr>
          <w:rFonts w:ascii="Times-Roman" w:hAnsi="Times-Roman" w:cs="Times-Roman"/>
          <w:kern w:val="0"/>
        </w:rPr>
        <w:t>, 375-400.</w:t>
      </w:r>
    </w:p>
    <w:p w:rsidR="00B80E4F" w:rsidRPr="004F66E5" w:rsidRDefault="00B80E4F" w:rsidP="00B80E4F">
      <w:pPr>
        <w:autoSpaceDE w:val="0"/>
        <w:autoSpaceDN w:val="0"/>
        <w:adjustRightInd w:val="0"/>
        <w:spacing w:before="240"/>
        <w:ind w:left="720" w:hanging="720"/>
      </w:pPr>
      <w:r w:rsidRPr="0097225D">
        <w:t>United States ex rel. David Franklin vs. Parke-Davis,</w:t>
      </w:r>
      <w:r w:rsidRPr="004F66E5">
        <w:t xml:space="preserve"> 147 F. Supp.2d 39 (D. Mass.), </w:t>
      </w:r>
      <w:r>
        <w:t>“</w:t>
      </w:r>
      <w:r w:rsidRPr="004F66E5">
        <w:t xml:space="preserve">Exhibits </w:t>
      </w:r>
      <w:r>
        <w:t>3, 21</w:t>
      </w:r>
      <w:r w:rsidRPr="00853A91">
        <w:t>, 29, 30,</w:t>
      </w:r>
      <w:r w:rsidRPr="00242E9A">
        <w:t xml:space="preserve"> 34, 35, 39, 45,</w:t>
      </w:r>
      <w:r>
        <w:t xml:space="preserve"> 51,</w:t>
      </w:r>
      <w:r w:rsidRPr="00242E9A">
        <w:t xml:space="preserve"> 57,</w:t>
      </w:r>
      <w:r>
        <w:t xml:space="preserve"> </w:t>
      </w:r>
      <w:r w:rsidRPr="00853A91">
        <w:t>61, 65, 66,</w:t>
      </w:r>
      <w:r w:rsidRPr="00242E9A">
        <w:t xml:space="preserve"> 72, 76, 78, 79</w:t>
      </w:r>
      <w:r>
        <w:t xml:space="preserve">, 91, 92, 93, 94, 95, 96, 97, 98, 1997 Situational Analysis,” </w:t>
      </w:r>
      <w:r>
        <w:rPr>
          <w:rFonts w:ascii="Times-Roman" w:eastAsia="SimSun" w:hAnsi="Times-Roman" w:cs="Times-Roman"/>
          <w:lang w:eastAsia="zh-CN"/>
        </w:rPr>
        <w:t xml:space="preserve">(Accessed May 25, 2006), [Available at  </w:t>
      </w:r>
      <w:r w:rsidRPr="005E1F85">
        <w:t>http://dida.library.ucsf.edu</w:t>
      </w:r>
      <w:r>
        <w:t>]</w:t>
      </w:r>
      <w:r w:rsidRPr="004F66E5">
        <w:t>.</w:t>
      </w:r>
    </w:p>
    <w:p w:rsidR="00B80E4F" w:rsidRPr="00FD0052" w:rsidRDefault="00B80E4F" w:rsidP="00B80E4F">
      <w:pPr>
        <w:autoSpaceDE w:val="0"/>
        <w:autoSpaceDN w:val="0"/>
        <w:adjustRightInd w:val="0"/>
        <w:spacing w:before="240"/>
        <w:ind w:left="720" w:hanging="720"/>
      </w:pPr>
      <w:r>
        <w:rPr>
          <w:kern w:val="0"/>
        </w:rPr>
        <w:t xml:space="preserve">Venkataraman, Sriram and Stefan Stremersch (2007), “The Debate on Influencing Doctors’ Decisions: Are Drug Characteristics the Missing Link?” </w:t>
      </w:r>
      <w:r>
        <w:rPr>
          <w:i/>
          <w:iCs/>
          <w:kern w:val="0"/>
        </w:rPr>
        <w:t>Management Science</w:t>
      </w:r>
      <w:r>
        <w:rPr>
          <w:kern w:val="0"/>
        </w:rPr>
        <w:t xml:space="preserve">, </w:t>
      </w:r>
      <w:r w:rsidRPr="00537122">
        <w:rPr>
          <w:iCs/>
          <w:kern w:val="0"/>
        </w:rPr>
        <w:t>53</w:t>
      </w:r>
      <w:r>
        <w:rPr>
          <w:i/>
          <w:iCs/>
          <w:kern w:val="0"/>
        </w:rPr>
        <w:t xml:space="preserve"> </w:t>
      </w:r>
      <w:r>
        <w:rPr>
          <w:kern w:val="0"/>
        </w:rPr>
        <w:t>(11), 1688-1701.</w:t>
      </w:r>
    </w:p>
    <w:p w:rsidR="00B80E4F" w:rsidRDefault="00B80E4F" w:rsidP="00B80E4F">
      <w:pPr>
        <w:spacing w:before="240"/>
        <w:ind w:left="720" w:hanging="720"/>
      </w:pPr>
      <w:r w:rsidRPr="00B72418">
        <w:t>von Bertalanffy, L</w:t>
      </w:r>
      <w:r>
        <w:t>udwig (</w:t>
      </w:r>
      <w:r w:rsidRPr="00B72418">
        <w:t>1968</w:t>
      </w:r>
      <w:r>
        <w:t xml:space="preserve">), “Perspectives on </w:t>
      </w:r>
      <w:r w:rsidRPr="00B72418">
        <w:t>General</w:t>
      </w:r>
      <w:r>
        <w:t xml:space="preserve"> Systems Theory: S</w:t>
      </w:r>
      <w:r>
        <w:rPr>
          <w:rStyle w:val="Subtitle1"/>
        </w:rPr>
        <w:t>cientific-Philosophical Studies,”</w:t>
      </w:r>
      <w:r w:rsidRPr="007B0F17">
        <w:t xml:space="preserve"> </w:t>
      </w:r>
      <w:r w:rsidRPr="007B0F17">
        <w:rPr>
          <w:i/>
          <w:iCs/>
        </w:rPr>
        <w:t>The International library of systems theory and philosophy</w:t>
      </w:r>
      <w:r>
        <w:br/>
      </w:r>
      <w:r w:rsidRPr="007B0F17">
        <w:rPr>
          <w:i/>
          <w:iCs/>
        </w:rPr>
        <w:t>Braziller Series of Poetry</w:t>
      </w:r>
      <w:r>
        <w:rPr>
          <w:i/>
          <w:iCs/>
        </w:rPr>
        <w:t>,</w:t>
      </w:r>
      <w:r>
        <w:t xml:space="preserve"> G. Braziller, 1975.</w:t>
      </w:r>
    </w:p>
    <w:p w:rsidR="00B80E4F" w:rsidRDefault="00B80E4F" w:rsidP="00B80E4F">
      <w:pPr>
        <w:spacing w:before="240"/>
        <w:ind w:left="720" w:hanging="720"/>
      </w:pPr>
      <w:r>
        <w:t xml:space="preserve">Wazana, Ashley (2000), “Physicians and the Pharmaceutical Industry,” </w:t>
      </w:r>
      <w:r w:rsidRPr="00A759ED">
        <w:rPr>
          <w:i/>
          <w:iCs/>
        </w:rPr>
        <w:t>Journal of the American Medical Association</w:t>
      </w:r>
      <w:r w:rsidRPr="00A759ED">
        <w:t xml:space="preserve">, </w:t>
      </w:r>
      <w:r>
        <w:rPr>
          <w:i/>
          <w:iCs/>
        </w:rPr>
        <w:t>283</w:t>
      </w:r>
      <w:r>
        <w:t>(3), 373-380.</w:t>
      </w:r>
    </w:p>
    <w:p w:rsidR="00B80E4F" w:rsidRDefault="00B80E4F" w:rsidP="00B80E4F">
      <w:pPr>
        <w:autoSpaceDE w:val="0"/>
        <w:autoSpaceDN w:val="0"/>
        <w:adjustRightInd w:val="0"/>
        <w:spacing w:before="240"/>
        <w:ind w:left="720" w:hanging="720"/>
      </w:pPr>
      <w:r w:rsidRPr="00291F60">
        <w:t>Wilkinson</w:t>
      </w:r>
      <w:r>
        <w:t>, Ian F.</w:t>
      </w:r>
      <w:r w:rsidRPr="00291F60">
        <w:t xml:space="preserve"> </w:t>
      </w:r>
      <w:r>
        <w:t>and</w:t>
      </w:r>
      <w:r w:rsidRPr="00291F60">
        <w:t xml:space="preserve"> </w:t>
      </w:r>
      <w:r>
        <w:t xml:space="preserve">Louise C. </w:t>
      </w:r>
      <w:r w:rsidRPr="00291F60">
        <w:t>Young</w:t>
      </w:r>
      <w:r>
        <w:t xml:space="preserve"> (</w:t>
      </w:r>
      <w:r w:rsidRPr="00291F60">
        <w:t>2007</w:t>
      </w:r>
      <w:r>
        <w:t xml:space="preserve">), “Toward a Normative Theory of Normative Marketing Theory,” </w:t>
      </w:r>
      <w:r w:rsidRPr="00291F60">
        <w:rPr>
          <w:i/>
          <w:iCs/>
        </w:rPr>
        <w:t>Marketing Theory</w:t>
      </w:r>
      <w:r>
        <w:t xml:space="preserve">, </w:t>
      </w:r>
      <w:r w:rsidRPr="00291F60">
        <w:rPr>
          <w:i/>
          <w:iCs/>
        </w:rPr>
        <w:t>5</w:t>
      </w:r>
      <w:r>
        <w:t>(4), 363-396.</w:t>
      </w:r>
      <w:r w:rsidRPr="00AD7DAC">
        <w:t xml:space="preserve"> </w:t>
      </w:r>
    </w:p>
    <w:p w:rsidR="00656F8F" w:rsidRDefault="00656F8F" w:rsidP="00B80E4F">
      <w:pPr>
        <w:autoSpaceDE w:val="0"/>
        <w:autoSpaceDN w:val="0"/>
        <w:adjustRightInd w:val="0"/>
        <w:spacing w:before="240"/>
        <w:ind w:left="720" w:hanging="720"/>
      </w:pPr>
    </w:p>
    <w:p w:rsidR="00656F8F" w:rsidRDefault="00B80E4F" w:rsidP="00656F8F">
      <w:pPr>
        <w:pStyle w:val="NoSpacing"/>
        <w:rPr>
          <w:rFonts w:eastAsia="SimSun"/>
          <w:lang w:eastAsia="zh-CN"/>
        </w:rPr>
      </w:pPr>
      <w:r w:rsidRPr="00B71920">
        <w:rPr>
          <w:rFonts w:eastAsia="SimSun"/>
          <w:lang w:eastAsia="zh-CN"/>
        </w:rPr>
        <w:t>W</w:t>
      </w:r>
      <w:r w:rsidRPr="00B01DB5">
        <w:rPr>
          <w:rFonts w:eastAsia="SimSun"/>
          <w:lang w:eastAsia="zh-CN"/>
        </w:rPr>
        <w:t>ittink</w:t>
      </w:r>
      <w:r>
        <w:rPr>
          <w:rFonts w:eastAsia="SimSun"/>
          <w:lang w:eastAsia="zh-CN"/>
        </w:rPr>
        <w:t xml:space="preserve">, Dick </w:t>
      </w:r>
      <w:r w:rsidRPr="0093262C">
        <w:rPr>
          <w:rFonts w:eastAsia="SimSun"/>
          <w:lang w:eastAsia="zh-CN"/>
        </w:rPr>
        <w:t>R. (2002)</w:t>
      </w:r>
      <w:r>
        <w:rPr>
          <w:rFonts w:eastAsia="SimSun"/>
          <w:lang w:eastAsia="zh-CN"/>
        </w:rPr>
        <w:t>, “Analysis of ROI for Pharmaceutical P</w:t>
      </w:r>
      <w:r w:rsidRPr="0093262C">
        <w:rPr>
          <w:rFonts w:eastAsia="SimSun"/>
          <w:lang w:eastAsia="zh-CN"/>
        </w:rPr>
        <w:t>romotions</w:t>
      </w:r>
      <w:r>
        <w:rPr>
          <w:rFonts w:eastAsia="SimSun"/>
          <w:lang w:eastAsia="zh-CN"/>
        </w:rPr>
        <w:t>: Study Conducted for</w:t>
      </w:r>
    </w:p>
    <w:p w:rsidR="00496982" w:rsidRPr="00656F8F" w:rsidRDefault="00656F8F" w:rsidP="00656F8F">
      <w:pPr>
        <w:pStyle w:val="NoSpacing"/>
        <w:rPr>
          <w:rFonts w:eastAsia="SimSun"/>
          <w:lang w:eastAsia="zh-CN"/>
        </w:rPr>
      </w:pPr>
      <w:r>
        <w:rPr>
          <w:rFonts w:eastAsia="SimSun"/>
          <w:lang w:eastAsia="zh-CN"/>
        </w:rPr>
        <w:tab/>
      </w:r>
      <w:r w:rsidR="00B80E4F" w:rsidRPr="0093262C">
        <w:rPr>
          <w:rFonts w:eastAsia="SimSun"/>
          <w:lang w:eastAsia="zh-CN"/>
        </w:rPr>
        <w:t>ARPP</w:t>
      </w:r>
      <w:r w:rsidR="00B80E4F">
        <w:rPr>
          <w:rFonts w:eastAsia="SimSun"/>
          <w:lang w:eastAsia="zh-CN"/>
        </w:rPr>
        <w:t>,”</w:t>
      </w:r>
      <w:r w:rsidR="00B80E4F" w:rsidRPr="0093262C">
        <w:rPr>
          <w:rFonts w:eastAsia="SimSun"/>
          <w:lang w:eastAsia="zh-CN"/>
        </w:rPr>
        <w:t xml:space="preserve"> </w:t>
      </w:r>
      <w:r w:rsidR="00B80E4F">
        <w:rPr>
          <w:rFonts w:eastAsia="SimSun"/>
          <w:lang w:eastAsia="zh-CN"/>
        </w:rPr>
        <w:t xml:space="preserve">(Accessed August 15, 2007), [Available at </w:t>
      </w:r>
      <w:r w:rsidR="00B80E4F" w:rsidRPr="003D7E34">
        <w:rPr>
          <w:rFonts w:eastAsia="SimSun"/>
          <w:lang w:eastAsia="zh-CN"/>
        </w:rPr>
        <w:t>vioworks.com/clients/amp</w:t>
      </w:r>
      <w:r w:rsidR="00B80E4F">
        <w:rPr>
          <w:rFonts w:eastAsia="SimSun"/>
          <w:lang w:eastAsia="zh-CN"/>
        </w:rPr>
        <w:t>]</w:t>
      </w:r>
      <w:r w:rsidR="00B80E4F" w:rsidRPr="0093262C">
        <w:rPr>
          <w:rFonts w:eastAsia="SimSun"/>
          <w:lang w:eastAsia="zh-CN"/>
        </w:rPr>
        <w:t>.</w:t>
      </w:r>
    </w:p>
    <w:p w:rsidR="006C0E63" w:rsidRPr="004A6550" w:rsidRDefault="00F74B2F" w:rsidP="00496982">
      <w:pPr>
        <w:pStyle w:val="ListParagraph"/>
        <w:numPr>
          <w:ilvl w:val="0"/>
          <w:numId w:val="46"/>
        </w:numPr>
        <w:spacing w:before="240"/>
        <w:jc w:val="center"/>
        <w:rPr>
          <w:rFonts w:eastAsia="SimSun"/>
          <w:lang w:eastAsia="zh-CN"/>
        </w:rPr>
      </w:pPr>
      <w:r>
        <w:br w:type="page"/>
      </w:r>
      <w:r w:rsidRPr="004A6550">
        <w:rPr>
          <w:rFonts w:eastAsia="SimSun"/>
          <w:lang w:eastAsia="zh-CN"/>
        </w:rPr>
        <w:lastRenderedPageBreak/>
        <w:t>Appendix I</w:t>
      </w:r>
    </w:p>
    <w:p w:rsidR="00F74B2F" w:rsidRDefault="00F74B2F" w:rsidP="0019535C">
      <w:pPr>
        <w:pStyle w:val="StyleLinespacingDouble"/>
        <w:spacing w:line="240" w:lineRule="auto"/>
        <w:ind w:firstLine="0"/>
        <w:jc w:val="center"/>
        <w:rPr>
          <w:rFonts w:ascii="Times-Roman" w:eastAsia="SimSun" w:hAnsi="Times-Roman"/>
          <w:lang w:eastAsia="zh-CN"/>
        </w:rPr>
      </w:pPr>
      <w:r w:rsidRPr="00DD3FFF">
        <w:rPr>
          <w:rFonts w:ascii="Times-Roman" w:eastAsia="SimSun" w:hAnsi="Times-Roman" w:cs="Times-Roman"/>
          <w:lang w:eastAsia="zh-CN"/>
        </w:rPr>
        <w:t xml:space="preserve">Background Note on Analysis of Court Documents for Mapping </w:t>
      </w:r>
      <w:r w:rsidR="000305A2">
        <w:rPr>
          <w:rFonts w:ascii="Times-Roman" w:eastAsia="SimSun" w:hAnsi="Times-Roman" w:cs="Times-Roman"/>
          <w:lang w:eastAsia="zh-CN"/>
        </w:rPr>
        <w:t>PM</w:t>
      </w:r>
      <w:r w:rsidRPr="00DD3FFF">
        <w:rPr>
          <w:rFonts w:ascii="Times-Roman" w:eastAsia="SimSun" w:hAnsi="Times-Roman" w:cs="Times-Roman"/>
          <w:lang w:eastAsia="zh-CN"/>
        </w:rPr>
        <w:t xml:space="preserve"> </w:t>
      </w:r>
      <w:r w:rsidR="00E610C1" w:rsidRPr="00DD3FFF">
        <w:rPr>
          <w:rFonts w:ascii="Times-Roman" w:eastAsia="SimSun" w:hAnsi="Times-Roman" w:cs="Times-Roman"/>
          <w:lang w:eastAsia="zh-CN"/>
        </w:rPr>
        <w:t>Strategies</w:t>
      </w:r>
    </w:p>
    <w:p w:rsidR="00F74B2F" w:rsidRPr="00DD3FFF" w:rsidRDefault="00F74B2F" w:rsidP="0019535C">
      <w:pPr>
        <w:pStyle w:val="StyleLinespacingDouble"/>
        <w:spacing w:line="240" w:lineRule="auto"/>
        <w:ind w:firstLine="0"/>
        <w:jc w:val="center"/>
        <w:rPr>
          <w:rFonts w:ascii="Times-Roman" w:eastAsia="SimSun" w:hAnsi="Times-Roman"/>
          <w:lang w:eastAsia="zh-CN"/>
        </w:rPr>
      </w:pPr>
    </w:p>
    <w:p w:rsidR="00F74B2F" w:rsidRDefault="00F74B2F" w:rsidP="0019535C">
      <w:pPr>
        <w:pStyle w:val="StyleLinespacingDouble"/>
        <w:spacing w:line="240" w:lineRule="auto"/>
      </w:pPr>
      <w:r w:rsidRPr="00DD3FFF">
        <w:rPr>
          <w:b/>
          <w:bCs/>
        </w:rPr>
        <w:t xml:space="preserve">Data </w:t>
      </w:r>
      <w:r>
        <w:rPr>
          <w:b/>
          <w:bCs/>
        </w:rPr>
        <w:t>Background</w:t>
      </w:r>
      <w:r w:rsidRPr="00DD3FFF">
        <w:rPr>
          <w:b/>
          <w:bCs/>
        </w:rPr>
        <w:t>.</w:t>
      </w:r>
      <w:r>
        <w:t xml:space="preserve"> Several key litigations involving pharmaceutical marketing practices have been processed in US and international courts including: (a) </w:t>
      </w:r>
      <w:r w:rsidRPr="006874A3">
        <w:t xml:space="preserve">TAP Pharmaceuticals </w:t>
      </w:r>
      <w:r>
        <w:t xml:space="preserve">who </w:t>
      </w:r>
      <w:r w:rsidRPr="006874A3">
        <w:t>settle</w:t>
      </w:r>
      <w:r>
        <w:t>d</w:t>
      </w:r>
      <w:r w:rsidRPr="006874A3">
        <w:t xml:space="preserve"> its nationwide class action lawsuit by paying $8</w:t>
      </w:r>
      <w:r>
        <w:t>85</w:t>
      </w:r>
      <w:r w:rsidRPr="006874A3">
        <w:t xml:space="preserve"> million to consumers and insurers</w:t>
      </w:r>
      <w:r>
        <w:t xml:space="preserve">, (b) </w:t>
      </w:r>
      <w:r w:rsidRPr="006874A3">
        <w:t xml:space="preserve">AstraZeneca </w:t>
      </w:r>
      <w:r>
        <w:t xml:space="preserve">who </w:t>
      </w:r>
      <w:r w:rsidRPr="006874A3">
        <w:t>p</w:t>
      </w:r>
      <w:r>
        <w:t>le</w:t>
      </w:r>
      <w:r w:rsidRPr="006874A3">
        <w:t>d</w:t>
      </w:r>
      <w:r>
        <w:t xml:space="preserve"> </w:t>
      </w:r>
      <w:r w:rsidRPr="006874A3">
        <w:t>guilty and pa</w:t>
      </w:r>
      <w:r>
        <w:t>i</w:t>
      </w:r>
      <w:r w:rsidRPr="006874A3">
        <w:t>d $335 million for promoting Zoladex</w:t>
      </w:r>
      <w:r>
        <w:t xml:space="preserve">, (c) </w:t>
      </w:r>
      <w:r w:rsidRPr="006874A3">
        <w:t xml:space="preserve">Eli Lilly </w:t>
      </w:r>
      <w:r>
        <w:t>who was charged for marketing practices involving</w:t>
      </w:r>
      <w:r w:rsidRPr="006874A3">
        <w:t xml:space="preserve"> </w:t>
      </w:r>
      <w:r>
        <w:t xml:space="preserve">Evista and </w:t>
      </w:r>
      <w:r w:rsidRPr="006874A3">
        <w:t xml:space="preserve">paid $36 million dollars to the US </w:t>
      </w:r>
      <w:r w:rsidRPr="000B73B4">
        <w:t>government</w:t>
      </w:r>
      <w:r>
        <w:t>, and (d) Schering-Plough Corporation who paid $435 million dollars as part of their plea agreement to settle charges for marketing drugs. In fact, 6 out of the top 10 pharmaceutical companies</w:t>
      </w:r>
      <w:r>
        <w:rPr>
          <w:rStyle w:val="FootnoteReference"/>
        </w:rPr>
        <w:footnoteReference w:id="6"/>
      </w:r>
      <w:r>
        <w:t xml:space="preserve"> in 2007 have faced recent or current litigation due to their marketing tactics.</w:t>
      </w:r>
    </w:p>
    <w:p w:rsidR="00F74B2F" w:rsidRDefault="00F74B2F" w:rsidP="0019535C">
      <w:pPr>
        <w:pStyle w:val="StyleLinespacingDouble"/>
        <w:spacing w:line="240" w:lineRule="auto"/>
      </w:pPr>
    </w:p>
    <w:p w:rsidR="00F74B2F" w:rsidRDefault="00F74B2F" w:rsidP="0019535C">
      <w:pPr>
        <w:pStyle w:val="StyleLinespacingDouble"/>
        <w:spacing w:line="240" w:lineRule="auto"/>
        <w:rPr>
          <w:rFonts w:ascii="Franklin Gothic Book" w:hAnsi="Franklin Gothic Book" w:cs="Franklin Gothic Book"/>
          <w:sz w:val="20"/>
          <w:szCs w:val="20"/>
        </w:rPr>
      </w:pPr>
      <w:r>
        <w:t xml:space="preserve">The case we selected, </w:t>
      </w:r>
      <w:r w:rsidRPr="00117342">
        <w:rPr>
          <w:i/>
          <w:iCs/>
        </w:rPr>
        <w:t>United States of America ex. rel David Franklin vs. Pfizer Inc, and Parke-Davis, Division of Warner-Lambert Company</w:t>
      </w:r>
      <w:r>
        <w:rPr>
          <w:i/>
          <w:iCs/>
        </w:rPr>
        <w:t>,</w:t>
      </w:r>
      <w:r>
        <w:t xml:space="preserve"> involved marketing practices related to </w:t>
      </w:r>
      <w:r w:rsidRPr="00117342">
        <w:rPr>
          <w:rStyle w:val="tab"/>
        </w:rPr>
        <w:t>Neurontin</w:t>
      </w:r>
      <w:r w:rsidRPr="00117342">
        <w:t>®</w:t>
      </w:r>
      <w:r w:rsidRPr="00117342">
        <w:rPr>
          <w:rStyle w:val="tab"/>
        </w:rPr>
        <w:t xml:space="preserve"> </w:t>
      </w:r>
      <w:r>
        <w:rPr>
          <w:rStyle w:val="tab"/>
        </w:rPr>
        <w:t xml:space="preserve">(chemically known as gabapentin) which </w:t>
      </w:r>
      <w:r w:rsidRPr="00117342">
        <w:rPr>
          <w:rStyle w:val="tab"/>
        </w:rPr>
        <w:t xml:space="preserve">was marketed in over 100 countries, used by over 12 million patients and </w:t>
      </w:r>
      <w:r>
        <w:rPr>
          <w:rStyle w:val="tab"/>
        </w:rPr>
        <w:t xml:space="preserve">was </w:t>
      </w:r>
      <w:r w:rsidRPr="00117342">
        <w:t>generating revenue of over $2.7 billion</w:t>
      </w:r>
      <w:r>
        <w:t xml:space="preserve">. </w:t>
      </w:r>
      <w:r w:rsidRPr="00117342">
        <w:t>The FDA initially approved gabapentin in 1993 for adjunctive treatment of partial complex seizures in adults older than 12</w:t>
      </w:r>
      <w:r>
        <w:t xml:space="preserve"> </w:t>
      </w:r>
      <w:r w:rsidRPr="00117342">
        <w:t>years in age and for dosages not exceeding 1800mg/day</w:t>
      </w:r>
      <w:r>
        <w:t xml:space="preserve">. </w:t>
      </w:r>
      <w:r w:rsidRPr="00117342">
        <w:t>However, by the mid-nineties, gabapentin experienced its highest growth in off-label treatment of pain syndromes (e.g., neuropathic pain, migraine) and psychiatric disorders (e.g., social phobia, bipolar disorders)</w:t>
      </w:r>
      <w:r>
        <w:t xml:space="preserve">. </w:t>
      </w:r>
      <w:r w:rsidRPr="00117342">
        <w:t xml:space="preserve">Parke-Davis admitted </w:t>
      </w:r>
      <w:r>
        <w:t xml:space="preserve">that it used </w:t>
      </w:r>
      <w:r w:rsidRPr="00117342">
        <w:t>marketing and promotion strategies for unapproved, off-label uses</w:t>
      </w:r>
      <w:r>
        <w:t xml:space="preserve">. </w:t>
      </w:r>
      <w:r w:rsidRPr="00117342">
        <w:t xml:space="preserve">Under current </w:t>
      </w:r>
      <w:smartTag w:uri="urn:schemas-microsoft-com:office:smarttags" w:element="country-region">
        <w:smartTag w:uri="urn:schemas-microsoft-com:office:smarttags" w:element="place">
          <w:r w:rsidRPr="00117342">
            <w:t>United States</w:t>
          </w:r>
        </w:smartTag>
      </w:smartTag>
      <w:r w:rsidRPr="00117342">
        <w:t xml:space="preserve"> law, it is neither illegal nor unethical for physicians to prescribe a drug for purposes unrelated to its FDA approved uses</w:t>
      </w:r>
      <w:r>
        <w:t xml:space="preserve">. </w:t>
      </w:r>
      <w:r w:rsidRPr="00117342">
        <w:t>Physicians are privileged by law to prescribe a drug for treatments for which they believe there is sufficient evidence of efficacy based on scientific evidence in peer reviewed journals and expert recommendations</w:t>
      </w:r>
      <w:r>
        <w:t xml:space="preserve">. </w:t>
      </w:r>
      <w:r w:rsidRPr="00117342">
        <w:t>Pharmaceutical companies are legally restrained from directly marketing and promoting a drug for off-label uses.</w:t>
      </w:r>
      <w:r>
        <w:t xml:space="preserve"> As such, the marketing practices used are not illegal </w:t>
      </w:r>
      <w:r w:rsidRPr="002B7E0B">
        <w:rPr>
          <w:i/>
          <w:iCs/>
        </w:rPr>
        <w:t>per se</w:t>
      </w:r>
      <w:r>
        <w:t xml:space="preserve">.  They are illegal only if they are used to </w:t>
      </w:r>
      <w:r w:rsidRPr="002B7E0B">
        <w:rPr>
          <w:u w:val="single"/>
        </w:rPr>
        <w:t>directly</w:t>
      </w:r>
      <w:r>
        <w:t xml:space="preserve"> promote off-label uses.</w:t>
      </w:r>
    </w:p>
    <w:p w:rsidR="00F74B2F" w:rsidRDefault="00F74B2F" w:rsidP="0019535C">
      <w:pPr>
        <w:pStyle w:val="StyleLinespacingDouble"/>
        <w:spacing w:line="240" w:lineRule="auto"/>
        <w:rPr>
          <w:b/>
          <w:bCs/>
        </w:rPr>
      </w:pPr>
    </w:p>
    <w:p w:rsidR="00397000" w:rsidRDefault="00F74B2F" w:rsidP="004434ED">
      <w:pPr>
        <w:pStyle w:val="StyleLinespacingDouble"/>
        <w:spacing w:line="240" w:lineRule="auto"/>
        <w:rPr>
          <w:rFonts w:ascii="Times-Roman" w:hAnsi="Times-Roman" w:cs="Times-Roman"/>
          <w:color w:val="231F20"/>
        </w:rPr>
        <w:sectPr w:rsidR="00397000" w:rsidSect="00A855A1">
          <w:headerReference w:type="default" r:id="rId20"/>
          <w:footerReference w:type="default" r:id="rId21"/>
          <w:pgSz w:w="11909" w:h="16834" w:code="9"/>
          <w:pgMar w:top="1296" w:right="1296" w:bottom="1296" w:left="1296" w:header="720" w:footer="720" w:gutter="0"/>
          <w:pgNumType w:start="1"/>
          <w:cols w:space="720"/>
          <w:docGrid w:linePitch="360"/>
        </w:sectPr>
      </w:pPr>
      <w:r w:rsidRPr="00633255">
        <w:rPr>
          <w:b/>
          <w:bCs/>
        </w:rPr>
        <w:t>Data Characteristics</w:t>
      </w:r>
      <w:r>
        <w:rPr>
          <w:b/>
          <w:bCs/>
        </w:rPr>
        <w:t xml:space="preserve"> </w:t>
      </w:r>
      <w:r w:rsidR="0062187E">
        <w:rPr>
          <w:b/>
          <w:bCs/>
        </w:rPr>
        <w:t>and</w:t>
      </w:r>
      <w:r>
        <w:rPr>
          <w:b/>
          <w:bCs/>
        </w:rPr>
        <w:t xml:space="preserve"> Analysis</w:t>
      </w:r>
      <w:r w:rsidRPr="00633255">
        <w:rPr>
          <w:b/>
          <w:bCs/>
        </w:rPr>
        <w:t>.</w:t>
      </w:r>
      <w:r>
        <w:t xml:space="preserve">  </w:t>
      </w:r>
      <w:r w:rsidRPr="00117342">
        <w:t xml:space="preserve">The court documents </w:t>
      </w:r>
      <w:r>
        <w:t>were obtained directly from the attorneys, and supplemented with archived data from a website of all pertaining documents housed at the University of California, San Francisco (</w:t>
      </w:r>
      <w:hyperlink r:id="rId22" w:history="1">
        <w:r w:rsidR="003C7C4E">
          <w:rPr>
            <w:rStyle w:val="Hyperlink"/>
          </w:rPr>
          <w:t>http://dida.library.ucsf.edu</w:t>
        </w:r>
      </w:hyperlink>
      <w:r>
        <w:t xml:space="preserve">). The documents </w:t>
      </w:r>
      <w:r w:rsidRPr="00117342">
        <w:t>included internal correspondence, details of sponsored activities and programs, exchanges between drug companies and physicians, and sworn depositions from key individuals</w:t>
      </w:r>
      <w:r>
        <w:t xml:space="preserve">. </w:t>
      </w:r>
      <w:r w:rsidRPr="00117342">
        <w:t>In analyzing these documents, we adopted an inductive approach with multiple coders</w:t>
      </w:r>
      <w:r>
        <w:t xml:space="preserve">. </w:t>
      </w:r>
      <w:r w:rsidRPr="00117342">
        <w:t>Two teams</w:t>
      </w:r>
      <w:r>
        <w:t>,</w:t>
      </w:r>
      <w:r w:rsidRPr="00117342">
        <w:t xml:space="preserve"> each involving a lead researcher and </w:t>
      </w:r>
      <w:r>
        <w:t xml:space="preserve">a </w:t>
      </w:r>
      <w:r w:rsidRPr="00117342">
        <w:t>student</w:t>
      </w:r>
      <w:r>
        <w:t>,</w:t>
      </w:r>
      <w:r w:rsidRPr="00117342">
        <w:t xml:space="preserve"> were constituted</w:t>
      </w:r>
      <w:r>
        <w:t xml:space="preserve">. </w:t>
      </w:r>
      <w:r w:rsidRPr="00117342">
        <w:t xml:space="preserve">The first team initially combed the materials to extract the key strategies and </w:t>
      </w:r>
      <w:r>
        <w:t xml:space="preserve">associated networks that had a direct or indirect bearing on the company’s relationships with physicians. </w:t>
      </w:r>
      <w:r w:rsidRPr="00117342">
        <w:t>The second team then independently extracted the key strategies</w:t>
      </w:r>
      <w:r>
        <w:t xml:space="preserve"> and networks</w:t>
      </w:r>
      <w:r w:rsidRPr="00117342">
        <w:t>, and met with the first team to resolve differences and integrate extracted strategies</w:t>
      </w:r>
      <w:r>
        <w:t xml:space="preserve">. </w:t>
      </w:r>
      <w:r w:rsidRPr="00117342">
        <w:t xml:space="preserve">Further, to ensure that the inductively derived descriptive patterns are not idiosyncratic to the gabapentin case but reflect broader industry practices, we supplemented this analysis with review of secondary materials including: (1) media reports and articles (e.g., </w:t>
      </w:r>
      <w:r w:rsidRPr="00117342">
        <w:rPr>
          <w:i/>
          <w:iCs/>
        </w:rPr>
        <w:t>Business Week</w:t>
      </w:r>
      <w:r w:rsidRPr="00117342">
        <w:t xml:space="preserve">, </w:t>
      </w:r>
      <w:r w:rsidRPr="00117342">
        <w:rPr>
          <w:rFonts w:ascii="Times-Italic" w:hAnsi="Times-Italic" w:cs="Times-Italic"/>
          <w:i/>
          <w:iCs/>
        </w:rPr>
        <w:t>The Wall Street Journal,</w:t>
      </w:r>
      <w:r w:rsidRPr="00117342">
        <w:rPr>
          <w:rFonts w:ascii="Times-Italic" w:hAnsi="Times-Italic" w:cs="Times-Italic"/>
        </w:rPr>
        <w:t xml:space="preserve"> </w:t>
      </w:r>
      <w:r w:rsidRPr="00117342">
        <w:rPr>
          <w:rFonts w:ascii="Times-Italic" w:hAnsi="Times-Italic" w:cs="Times-Italic"/>
          <w:i/>
          <w:iCs/>
        </w:rPr>
        <w:t>CBS News</w:t>
      </w:r>
      <w:r w:rsidRPr="00117342">
        <w:rPr>
          <w:rFonts w:ascii="Times-Italic" w:hAnsi="Times-Italic" w:cs="Times-Italic"/>
        </w:rPr>
        <w:t>)</w:t>
      </w:r>
      <w:r w:rsidRPr="00117342">
        <w:rPr>
          <w:rFonts w:ascii="Times-Italic" w:hAnsi="Times-Italic" w:cs="Times-Italic"/>
          <w:i/>
          <w:iCs/>
        </w:rPr>
        <w:t xml:space="preserve">, </w:t>
      </w:r>
      <w:r w:rsidRPr="00117342">
        <w:rPr>
          <w:rFonts w:ascii="Times-Italic" w:hAnsi="Times-Italic" w:cs="Times-Italic"/>
        </w:rPr>
        <w:t xml:space="preserve">(2) </w:t>
      </w:r>
      <w:r w:rsidRPr="00117342">
        <w:rPr>
          <w:rFonts w:ascii="Times-Roman" w:hAnsi="Times-Roman" w:cs="Times-Roman"/>
          <w:color w:val="231F20"/>
        </w:rPr>
        <w:t>industry (e.g., PhRMA) and association (e.g., AMA) reports and materials, (3) federal sources (e.g., FDA), and (4) scientific journal articles, books</w:t>
      </w:r>
      <w:r>
        <w:rPr>
          <w:rFonts w:ascii="Times-Roman" w:hAnsi="Times-Roman" w:cs="Times-Roman"/>
          <w:color w:val="231F20"/>
        </w:rPr>
        <w:t>,</w:t>
      </w:r>
      <w:r w:rsidRPr="00117342">
        <w:rPr>
          <w:rFonts w:ascii="Times-Roman" w:hAnsi="Times-Roman" w:cs="Times-Roman"/>
          <w:color w:val="231F20"/>
        </w:rPr>
        <w:t xml:space="preserve"> and editorials</w:t>
      </w:r>
      <w:r>
        <w:rPr>
          <w:rFonts w:ascii="Times-Roman" w:hAnsi="Times-Roman" w:cs="Times-Roman"/>
          <w:color w:val="231F20"/>
        </w:rPr>
        <w:t xml:space="preserve">. </w:t>
      </w:r>
      <w:r w:rsidRPr="00117342">
        <w:rPr>
          <w:rFonts w:ascii="Times-Roman" w:hAnsi="Times-Roman" w:cs="Times-Roman"/>
          <w:color w:val="231F20"/>
        </w:rPr>
        <w:t>This supplementary evidence is a</w:t>
      </w:r>
      <w:r>
        <w:rPr>
          <w:rFonts w:ascii="Times-Roman" w:hAnsi="Times-Roman" w:cs="Times-Roman"/>
          <w:color w:val="231F20"/>
        </w:rPr>
        <w:t>lso summarized in Table 1</w:t>
      </w:r>
      <w:r w:rsidRPr="00117342">
        <w:rPr>
          <w:rFonts w:ascii="Times-Roman" w:hAnsi="Times-Roman" w:cs="Times-Roman"/>
          <w:color w:val="231F20"/>
        </w:rPr>
        <w:t>.</w:t>
      </w:r>
    </w:p>
    <w:p w:rsidR="006C7C1E" w:rsidRPr="00D51EED" w:rsidRDefault="006C7C1E" w:rsidP="0022291A">
      <w:pPr>
        <w:jc w:val="center"/>
        <w:outlineLvl w:val="0"/>
        <w:rPr>
          <w:rFonts w:ascii="Times-Roman" w:eastAsia="SimSun" w:hAnsi="Times-Roman" w:cs="Times-Roman"/>
          <w:b/>
          <w:lang w:eastAsia="zh-CN"/>
        </w:rPr>
      </w:pPr>
      <w:r>
        <w:rPr>
          <w:rFonts w:ascii="Times-Roman" w:eastAsia="SimSun" w:hAnsi="Times-Roman" w:cs="Times-Roman"/>
          <w:b/>
          <w:lang w:eastAsia="zh-CN"/>
        </w:rPr>
        <w:lastRenderedPageBreak/>
        <w:t>Table 1</w:t>
      </w:r>
    </w:p>
    <w:p w:rsidR="006C7C1E" w:rsidRDefault="006C7C1E" w:rsidP="006C7C1E">
      <w:pPr>
        <w:jc w:val="center"/>
        <w:rPr>
          <w:b/>
        </w:rPr>
      </w:pPr>
      <w:r>
        <w:rPr>
          <w:b/>
        </w:rPr>
        <w:t xml:space="preserve">The Logic of Consequences and Pharmaceutical </w:t>
      </w:r>
      <w:r w:rsidRPr="00117342">
        <w:rPr>
          <w:b/>
        </w:rPr>
        <w:t>Marketing Practices</w:t>
      </w:r>
    </w:p>
    <w:p w:rsidR="0049424F" w:rsidRDefault="0069014D" w:rsidP="006C7C1E">
      <w:pPr>
        <w:jc w:val="center"/>
        <w:rPr>
          <w:b/>
        </w:rPr>
      </w:pPr>
      <w:r>
        <w:rPr>
          <w:noProof/>
        </w:rPr>
        <w:drawing>
          <wp:inline distT="0" distB="0" distL="0" distR="0">
            <wp:extent cx="6282055" cy="7216345"/>
            <wp:effectExtent l="1905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6282055" cy="7216345"/>
                    </a:xfrm>
                    <a:prstGeom prst="rect">
                      <a:avLst/>
                    </a:prstGeom>
                    <a:noFill/>
                    <a:ln w="9525">
                      <a:noFill/>
                      <a:miter lim="800000"/>
                      <a:headEnd/>
                      <a:tailEnd/>
                    </a:ln>
                  </pic:spPr>
                </pic:pic>
              </a:graphicData>
            </a:graphic>
          </wp:inline>
        </w:drawing>
      </w:r>
    </w:p>
    <w:p w:rsidR="0049424F" w:rsidRDefault="0049424F" w:rsidP="006C7C1E">
      <w:pPr>
        <w:jc w:val="center"/>
        <w:rPr>
          <w:b/>
        </w:rPr>
      </w:pPr>
    </w:p>
    <w:p w:rsidR="00FD5FA5" w:rsidRDefault="00FD5FA5" w:rsidP="006C7C1E">
      <w:pPr>
        <w:jc w:val="center"/>
        <w:rPr>
          <w:b/>
        </w:rPr>
      </w:pPr>
    </w:p>
    <w:p w:rsidR="00FD5FA5" w:rsidRPr="00117342" w:rsidRDefault="00FD5FA5" w:rsidP="006C7C1E">
      <w:pPr>
        <w:jc w:val="center"/>
        <w:rPr>
          <w:b/>
        </w:rPr>
      </w:pPr>
    </w:p>
    <w:p w:rsidR="000C0645" w:rsidRDefault="000C0645" w:rsidP="006C7C1E">
      <w:pPr>
        <w:autoSpaceDE w:val="0"/>
        <w:autoSpaceDN w:val="0"/>
        <w:adjustRightInd w:val="0"/>
        <w:ind w:left="720" w:hanging="720"/>
        <w:jc w:val="center"/>
        <w:rPr>
          <w:rFonts w:ascii="Times-Roman" w:eastAsia="SimSun" w:hAnsi="Times-Roman" w:cs="Times-Roman"/>
          <w:lang w:eastAsia="zh-CN"/>
        </w:rPr>
      </w:pPr>
    </w:p>
    <w:p w:rsidR="007038D8" w:rsidRDefault="007038D8">
      <w:pPr>
        <w:rPr>
          <w:rFonts w:ascii="Times-Roman" w:eastAsia="SimSun" w:hAnsi="Times-Roman" w:cs="Times-Roman"/>
          <w:lang w:eastAsia="zh-CN"/>
        </w:rPr>
      </w:pPr>
    </w:p>
    <w:p w:rsidR="007038D8" w:rsidRDefault="000C0645">
      <w:pPr>
        <w:tabs>
          <w:tab w:val="left" w:pos="2328"/>
        </w:tabs>
        <w:rPr>
          <w:rFonts w:ascii="Times-Roman" w:eastAsia="SimSun" w:hAnsi="Times-Roman" w:cs="Times-Roman"/>
          <w:lang w:eastAsia="zh-CN"/>
        </w:rPr>
      </w:pPr>
      <w:r>
        <w:rPr>
          <w:rFonts w:ascii="Times-Roman" w:eastAsia="SimSun" w:hAnsi="Times-Roman" w:cs="Times-Roman"/>
          <w:lang w:eastAsia="zh-CN"/>
        </w:rPr>
        <w:tab/>
      </w:r>
    </w:p>
    <w:p w:rsidR="000C0645" w:rsidRDefault="000C0645" w:rsidP="000C0645">
      <w:pPr>
        <w:rPr>
          <w:rFonts w:ascii="Times-Roman" w:eastAsia="SimSun" w:hAnsi="Times-Roman" w:cs="Times-Roman"/>
          <w:lang w:eastAsia="zh-CN"/>
        </w:rPr>
      </w:pPr>
    </w:p>
    <w:p w:rsidR="007038D8" w:rsidRDefault="007038D8" w:rsidP="000C0645">
      <w:pPr>
        <w:rPr>
          <w:rFonts w:ascii="Times-Roman" w:eastAsia="SimSun" w:hAnsi="Times-Roman" w:cs="Times-Roman"/>
          <w:lang w:eastAsia="zh-CN"/>
        </w:rPr>
        <w:sectPr w:rsidR="007038D8" w:rsidSect="008A257A">
          <w:headerReference w:type="default" r:id="rId24"/>
          <w:footerReference w:type="default" r:id="rId25"/>
          <w:pgSz w:w="11909" w:h="16834" w:code="9"/>
          <w:pgMar w:top="1008" w:right="1008" w:bottom="1008" w:left="1008" w:header="720" w:footer="720" w:gutter="0"/>
          <w:pgNumType w:start="1"/>
          <w:cols w:space="720"/>
          <w:docGrid w:linePitch="360"/>
        </w:sectPr>
      </w:pPr>
    </w:p>
    <w:p w:rsidR="002E79CD" w:rsidRPr="00B578FE" w:rsidRDefault="00481B4A">
      <w:pPr>
        <w:jc w:val="center"/>
        <w:rPr>
          <w:rFonts w:eastAsia="SimSun"/>
          <w:b/>
          <w:lang w:eastAsia="zh-CN"/>
        </w:rPr>
      </w:pPr>
      <w:r w:rsidRPr="00B578FE">
        <w:rPr>
          <w:rFonts w:eastAsia="SimSun"/>
          <w:b/>
          <w:lang w:eastAsia="zh-CN"/>
        </w:rPr>
        <w:lastRenderedPageBreak/>
        <w:t xml:space="preserve">Table </w:t>
      </w:r>
      <w:r w:rsidR="00480E1F" w:rsidRPr="00B578FE">
        <w:rPr>
          <w:rFonts w:eastAsia="SimSun"/>
          <w:b/>
          <w:lang w:eastAsia="zh-CN"/>
        </w:rPr>
        <w:t>2</w:t>
      </w:r>
    </w:p>
    <w:p w:rsidR="00481B4A" w:rsidRPr="00B578FE" w:rsidRDefault="00481B4A" w:rsidP="00481B4A">
      <w:pPr>
        <w:autoSpaceDE w:val="0"/>
        <w:autoSpaceDN w:val="0"/>
        <w:adjustRightInd w:val="0"/>
        <w:jc w:val="center"/>
        <w:rPr>
          <w:rFonts w:ascii="Times-Roman" w:eastAsia="SimSun" w:hAnsi="Times-Roman" w:cs="Times-Roman"/>
          <w:b/>
          <w:lang w:eastAsia="zh-CN"/>
        </w:rPr>
      </w:pPr>
      <w:r w:rsidRPr="00B578FE">
        <w:rPr>
          <w:rFonts w:ascii="Times-Roman" w:eastAsia="SimSun" w:hAnsi="Times-Roman" w:cs="Times-Roman"/>
          <w:b/>
          <w:lang w:eastAsia="zh-CN"/>
        </w:rPr>
        <w:t xml:space="preserve">Comparative Analysis of Frameworks Rooted in Consequential and </w:t>
      </w:r>
    </w:p>
    <w:p w:rsidR="00481B4A" w:rsidRDefault="00481B4A" w:rsidP="00481B4A">
      <w:pPr>
        <w:autoSpaceDE w:val="0"/>
        <w:autoSpaceDN w:val="0"/>
        <w:adjustRightInd w:val="0"/>
        <w:jc w:val="center"/>
        <w:rPr>
          <w:rFonts w:ascii="Times-Roman" w:eastAsia="SimSun" w:hAnsi="Times-Roman" w:cs="Times-Roman"/>
          <w:b/>
          <w:lang w:eastAsia="zh-CN"/>
        </w:rPr>
      </w:pPr>
      <w:r w:rsidRPr="00B578FE">
        <w:rPr>
          <w:rFonts w:ascii="Times-Roman" w:eastAsia="SimSun" w:hAnsi="Times-Roman" w:cs="Times-Roman"/>
          <w:b/>
          <w:lang w:eastAsia="zh-CN"/>
        </w:rPr>
        <w:t>Open Systems</w:t>
      </w:r>
      <w:r w:rsidR="00CD3ADF" w:rsidRPr="00B578FE">
        <w:rPr>
          <w:rFonts w:ascii="Times-Roman" w:eastAsia="SimSun" w:hAnsi="Times-Roman" w:cs="Times-Roman"/>
          <w:b/>
          <w:lang w:eastAsia="zh-CN"/>
        </w:rPr>
        <w:t xml:space="preserve"> based view of Institutional </w:t>
      </w:r>
      <w:r w:rsidRPr="00B578FE">
        <w:rPr>
          <w:rFonts w:ascii="Times-Roman" w:eastAsia="SimSun" w:hAnsi="Times-Roman" w:cs="Times-Roman"/>
          <w:b/>
          <w:lang w:eastAsia="zh-CN"/>
        </w:rPr>
        <w:t xml:space="preserve">Logics for </w:t>
      </w:r>
      <w:r w:rsidR="001201BA" w:rsidRPr="00B578FE">
        <w:rPr>
          <w:rFonts w:ascii="Times-Roman" w:eastAsia="SimSun" w:hAnsi="Times-Roman" w:cs="Times-Roman"/>
          <w:b/>
          <w:lang w:eastAsia="zh-CN"/>
        </w:rPr>
        <w:t xml:space="preserve">Pharmaceutical </w:t>
      </w:r>
      <w:r w:rsidRPr="00B578FE">
        <w:rPr>
          <w:rFonts w:ascii="Times-Roman" w:eastAsia="SimSun" w:hAnsi="Times-Roman" w:cs="Times-Roman"/>
          <w:b/>
          <w:lang w:eastAsia="zh-CN"/>
        </w:rPr>
        <w:t>Market</w:t>
      </w:r>
      <w:r w:rsidR="001201BA" w:rsidRPr="00B578FE">
        <w:rPr>
          <w:rFonts w:ascii="Times-Roman" w:eastAsia="SimSun" w:hAnsi="Times-Roman" w:cs="Times-Roman"/>
          <w:b/>
          <w:lang w:eastAsia="zh-CN"/>
        </w:rPr>
        <w:t>ing</w:t>
      </w:r>
    </w:p>
    <w:p w:rsidR="001400E1" w:rsidRPr="00B578FE" w:rsidRDefault="001400E1" w:rsidP="00481B4A">
      <w:pPr>
        <w:autoSpaceDE w:val="0"/>
        <w:autoSpaceDN w:val="0"/>
        <w:adjustRightInd w:val="0"/>
        <w:jc w:val="center"/>
        <w:rPr>
          <w:rFonts w:ascii="Times-Roman" w:eastAsia="SimSun" w:hAnsi="Times-Roman" w:cs="Times-Roman"/>
          <w:b/>
          <w:lang w:eastAsia="zh-CN"/>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60"/>
        <w:gridCol w:w="2742"/>
        <w:gridCol w:w="4066"/>
        <w:gridCol w:w="6022"/>
      </w:tblGrid>
      <w:tr w:rsidR="001040F7" w:rsidRPr="0022291A" w:rsidTr="00B578FE">
        <w:trPr>
          <w:trHeight w:val="339"/>
          <w:jc w:val="center"/>
        </w:trPr>
        <w:tc>
          <w:tcPr>
            <w:tcW w:w="2360" w:type="dxa"/>
          </w:tcPr>
          <w:p w:rsidR="00D86949" w:rsidRPr="0022291A" w:rsidRDefault="00D86949" w:rsidP="000C0645">
            <w:pPr>
              <w:autoSpaceDE w:val="0"/>
              <w:autoSpaceDN w:val="0"/>
              <w:adjustRightInd w:val="0"/>
              <w:jc w:val="center"/>
              <w:rPr>
                <w:rFonts w:eastAsia="SimSun"/>
                <w:b/>
                <w:lang w:eastAsia="zh-CN"/>
              </w:rPr>
            </w:pPr>
          </w:p>
        </w:tc>
        <w:tc>
          <w:tcPr>
            <w:tcW w:w="2742" w:type="dxa"/>
          </w:tcPr>
          <w:p w:rsidR="00D86949" w:rsidRPr="00B578FE" w:rsidRDefault="00D86949" w:rsidP="004001A4">
            <w:pPr>
              <w:autoSpaceDE w:val="0"/>
              <w:autoSpaceDN w:val="0"/>
              <w:adjustRightInd w:val="0"/>
              <w:jc w:val="center"/>
              <w:rPr>
                <w:rFonts w:eastAsia="SimSun"/>
                <w:b/>
                <w:lang w:eastAsia="zh-CN"/>
              </w:rPr>
            </w:pPr>
            <w:r w:rsidRPr="00B578FE">
              <w:rPr>
                <w:rFonts w:eastAsia="SimSun"/>
                <w:b/>
                <w:lang w:eastAsia="zh-CN"/>
              </w:rPr>
              <w:t>Elements</w:t>
            </w:r>
          </w:p>
        </w:tc>
        <w:tc>
          <w:tcPr>
            <w:tcW w:w="4066" w:type="dxa"/>
          </w:tcPr>
          <w:p w:rsidR="00D86949" w:rsidRPr="00B578FE" w:rsidRDefault="000C0645" w:rsidP="000C0645">
            <w:pPr>
              <w:autoSpaceDE w:val="0"/>
              <w:autoSpaceDN w:val="0"/>
              <w:adjustRightInd w:val="0"/>
              <w:jc w:val="center"/>
              <w:rPr>
                <w:rFonts w:eastAsia="SimSun"/>
                <w:b/>
                <w:lang w:eastAsia="zh-CN"/>
              </w:rPr>
            </w:pPr>
            <w:r>
              <w:rPr>
                <w:rFonts w:eastAsia="SimSun"/>
                <w:b/>
                <w:lang w:eastAsia="zh-CN"/>
              </w:rPr>
              <w:t>Economic</w:t>
            </w:r>
            <w:r w:rsidR="00D86949" w:rsidRPr="00B578FE">
              <w:rPr>
                <w:rFonts w:eastAsia="SimSun"/>
                <w:b/>
                <w:lang w:eastAsia="zh-CN"/>
              </w:rPr>
              <w:t xml:space="preserve"> Framework</w:t>
            </w:r>
          </w:p>
        </w:tc>
        <w:tc>
          <w:tcPr>
            <w:tcW w:w="6022" w:type="dxa"/>
          </w:tcPr>
          <w:p w:rsidR="00D86949" w:rsidRPr="00B578FE" w:rsidRDefault="00D86949" w:rsidP="000727D4">
            <w:pPr>
              <w:autoSpaceDE w:val="0"/>
              <w:autoSpaceDN w:val="0"/>
              <w:adjustRightInd w:val="0"/>
              <w:jc w:val="center"/>
              <w:rPr>
                <w:rFonts w:eastAsia="SimSun"/>
                <w:b/>
                <w:lang w:eastAsia="zh-CN"/>
              </w:rPr>
            </w:pPr>
            <w:r w:rsidRPr="00B578FE">
              <w:rPr>
                <w:rFonts w:eastAsia="SimSun"/>
                <w:b/>
                <w:lang w:eastAsia="zh-CN"/>
              </w:rPr>
              <w:t>Open Systems Framework</w:t>
            </w:r>
          </w:p>
        </w:tc>
      </w:tr>
      <w:tr w:rsidR="001040F7" w:rsidRPr="0022291A" w:rsidTr="00B578FE">
        <w:trPr>
          <w:trHeight w:val="585"/>
          <w:jc w:val="center"/>
        </w:trPr>
        <w:tc>
          <w:tcPr>
            <w:tcW w:w="2360" w:type="dxa"/>
            <w:vMerge w:val="restart"/>
          </w:tcPr>
          <w:p w:rsidR="00D86949" w:rsidRDefault="00D86949">
            <w:pPr>
              <w:autoSpaceDE w:val="0"/>
              <w:autoSpaceDN w:val="0"/>
              <w:adjustRightInd w:val="0"/>
              <w:jc w:val="center"/>
              <w:rPr>
                <w:rFonts w:eastAsia="SimSun"/>
                <w:lang w:eastAsia="zh-CN"/>
              </w:rPr>
            </w:pPr>
          </w:p>
          <w:p w:rsidR="00D86949" w:rsidRDefault="00D86949">
            <w:pPr>
              <w:autoSpaceDE w:val="0"/>
              <w:autoSpaceDN w:val="0"/>
              <w:adjustRightInd w:val="0"/>
              <w:jc w:val="center"/>
              <w:rPr>
                <w:rFonts w:eastAsia="SimSun"/>
                <w:lang w:eastAsia="zh-CN"/>
              </w:rPr>
            </w:pPr>
          </w:p>
          <w:p w:rsidR="00D86949" w:rsidRDefault="00D86949">
            <w:pPr>
              <w:autoSpaceDE w:val="0"/>
              <w:autoSpaceDN w:val="0"/>
              <w:adjustRightInd w:val="0"/>
              <w:jc w:val="center"/>
              <w:rPr>
                <w:rFonts w:eastAsia="SimSun"/>
                <w:lang w:eastAsia="zh-CN"/>
              </w:rPr>
            </w:pPr>
          </w:p>
          <w:p w:rsidR="00D86949" w:rsidRPr="00B578FE" w:rsidRDefault="00B578FE" w:rsidP="00843E0C">
            <w:pPr>
              <w:autoSpaceDE w:val="0"/>
              <w:autoSpaceDN w:val="0"/>
              <w:adjustRightInd w:val="0"/>
              <w:jc w:val="center"/>
              <w:rPr>
                <w:rFonts w:eastAsia="SimSun"/>
                <w:b/>
                <w:i/>
                <w:lang w:eastAsia="zh-CN"/>
              </w:rPr>
            </w:pPr>
            <w:r>
              <w:rPr>
                <w:rFonts w:eastAsia="SimSun"/>
                <w:b/>
                <w:i/>
                <w:lang w:eastAsia="zh-CN"/>
              </w:rPr>
              <w:t>Foundation</w:t>
            </w:r>
            <w:r w:rsidR="00843E0C">
              <w:rPr>
                <w:rFonts w:eastAsia="SimSun"/>
                <w:b/>
                <w:i/>
                <w:lang w:eastAsia="zh-CN"/>
              </w:rPr>
              <w:t>al Elements</w:t>
            </w:r>
          </w:p>
        </w:tc>
        <w:tc>
          <w:tcPr>
            <w:tcW w:w="2742" w:type="dxa"/>
          </w:tcPr>
          <w:p w:rsidR="00D86949" w:rsidRPr="00B578FE" w:rsidRDefault="00D86949" w:rsidP="00B64E82">
            <w:pPr>
              <w:autoSpaceDE w:val="0"/>
              <w:autoSpaceDN w:val="0"/>
              <w:adjustRightInd w:val="0"/>
              <w:jc w:val="center"/>
              <w:rPr>
                <w:rFonts w:eastAsia="SimSun"/>
                <w:lang w:eastAsia="zh-CN"/>
              </w:rPr>
            </w:pPr>
            <w:r w:rsidRPr="00B578FE">
              <w:rPr>
                <w:rFonts w:eastAsia="SimSun"/>
                <w:lang w:eastAsia="zh-CN"/>
              </w:rPr>
              <w:t xml:space="preserve">Fundamental </w:t>
            </w:r>
            <w:r w:rsidR="00B64E82">
              <w:rPr>
                <w:rFonts w:eastAsia="SimSun"/>
                <w:lang w:eastAsia="zh-CN"/>
              </w:rPr>
              <w:t>Objective</w:t>
            </w:r>
          </w:p>
        </w:tc>
        <w:tc>
          <w:tcPr>
            <w:tcW w:w="4066" w:type="dxa"/>
          </w:tcPr>
          <w:p w:rsidR="00D86949" w:rsidRPr="00B578FE" w:rsidRDefault="0067511D" w:rsidP="0067511D">
            <w:pPr>
              <w:autoSpaceDE w:val="0"/>
              <w:autoSpaceDN w:val="0"/>
              <w:adjustRightInd w:val="0"/>
              <w:rPr>
                <w:rFonts w:eastAsia="SimSun"/>
                <w:lang w:eastAsia="zh-CN"/>
              </w:rPr>
            </w:pPr>
            <w:r>
              <w:rPr>
                <w:rFonts w:eastAsia="SimSun"/>
                <w:lang w:eastAsia="zh-CN"/>
              </w:rPr>
              <w:t>R</w:t>
            </w:r>
            <w:r w:rsidR="00D86949" w:rsidRPr="00B578FE">
              <w:rPr>
                <w:rFonts w:eastAsia="SimSun"/>
                <w:lang w:eastAsia="zh-CN"/>
              </w:rPr>
              <w:t xml:space="preserve">eturn on </w:t>
            </w:r>
            <w:r>
              <w:rPr>
                <w:rFonts w:eastAsia="SimSun"/>
                <w:lang w:eastAsia="zh-CN"/>
              </w:rPr>
              <w:t>Marketing</w:t>
            </w:r>
            <w:r w:rsidR="00B64E82">
              <w:rPr>
                <w:rFonts w:eastAsia="SimSun"/>
                <w:lang w:eastAsia="zh-CN"/>
              </w:rPr>
              <w:t xml:space="preserve"> </w:t>
            </w:r>
            <w:r>
              <w:rPr>
                <w:rFonts w:eastAsia="SimSun"/>
                <w:lang w:eastAsia="zh-CN"/>
              </w:rPr>
              <w:t>I</w:t>
            </w:r>
            <w:r w:rsidR="00D86949" w:rsidRPr="00B578FE">
              <w:rPr>
                <w:rFonts w:eastAsia="SimSun"/>
                <w:lang w:eastAsia="zh-CN"/>
              </w:rPr>
              <w:t>nvestments</w:t>
            </w:r>
          </w:p>
        </w:tc>
        <w:tc>
          <w:tcPr>
            <w:tcW w:w="6022" w:type="dxa"/>
          </w:tcPr>
          <w:p w:rsidR="00D86949" w:rsidRPr="00B578FE" w:rsidRDefault="00D86949" w:rsidP="0067511D">
            <w:pPr>
              <w:autoSpaceDE w:val="0"/>
              <w:autoSpaceDN w:val="0"/>
              <w:adjustRightInd w:val="0"/>
              <w:rPr>
                <w:rFonts w:eastAsia="SimSun"/>
                <w:lang w:eastAsia="zh-CN"/>
              </w:rPr>
            </w:pPr>
            <w:r w:rsidRPr="00B578FE">
              <w:rPr>
                <w:rFonts w:eastAsia="SimSun"/>
                <w:lang w:eastAsia="zh-CN"/>
              </w:rPr>
              <w:t>System and Organizational (subsystem) Legitimacy</w:t>
            </w:r>
            <w:r w:rsidR="00D0139C">
              <w:rPr>
                <w:rFonts w:eastAsia="SimSun"/>
                <w:lang w:eastAsia="zh-CN"/>
              </w:rPr>
              <w:t xml:space="preserve"> Gains from </w:t>
            </w:r>
            <w:r w:rsidR="0067511D">
              <w:rPr>
                <w:rFonts w:eastAsia="SimSun"/>
                <w:lang w:eastAsia="zh-CN"/>
              </w:rPr>
              <w:t xml:space="preserve">Marketing </w:t>
            </w:r>
            <w:r w:rsidR="00D0139C">
              <w:rPr>
                <w:rFonts w:eastAsia="SimSun"/>
                <w:lang w:eastAsia="zh-CN"/>
              </w:rPr>
              <w:t>Investments</w:t>
            </w:r>
          </w:p>
        </w:tc>
      </w:tr>
      <w:tr w:rsidR="001040F7" w:rsidRPr="0022291A" w:rsidTr="00B578FE">
        <w:trPr>
          <w:trHeight w:val="530"/>
          <w:jc w:val="center"/>
        </w:trPr>
        <w:tc>
          <w:tcPr>
            <w:tcW w:w="2360" w:type="dxa"/>
            <w:vMerge/>
          </w:tcPr>
          <w:p w:rsidR="00D86949" w:rsidRPr="0022291A" w:rsidRDefault="00D86949" w:rsidP="004001A4">
            <w:pPr>
              <w:autoSpaceDE w:val="0"/>
              <w:autoSpaceDN w:val="0"/>
              <w:adjustRightInd w:val="0"/>
              <w:jc w:val="center"/>
              <w:rPr>
                <w:rFonts w:eastAsia="SimSun"/>
                <w:lang w:eastAsia="zh-CN"/>
              </w:rPr>
            </w:pPr>
          </w:p>
        </w:tc>
        <w:tc>
          <w:tcPr>
            <w:tcW w:w="2742" w:type="dxa"/>
          </w:tcPr>
          <w:p w:rsidR="00D86949" w:rsidRPr="00B578FE" w:rsidRDefault="00D86949" w:rsidP="004001A4">
            <w:pPr>
              <w:autoSpaceDE w:val="0"/>
              <w:autoSpaceDN w:val="0"/>
              <w:adjustRightInd w:val="0"/>
              <w:jc w:val="center"/>
              <w:rPr>
                <w:rFonts w:eastAsia="SimSun"/>
                <w:lang w:eastAsia="zh-CN"/>
              </w:rPr>
            </w:pPr>
            <w:r w:rsidRPr="00B578FE">
              <w:rPr>
                <w:rFonts w:eastAsia="SimSun"/>
                <w:lang w:eastAsia="zh-CN"/>
              </w:rPr>
              <w:t>Focal Phenomenon</w:t>
            </w:r>
          </w:p>
        </w:tc>
        <w:tc>
          <w:tcPr>
            <w:tcW w:w="4066" w:type="dxa"/>
          </w:tcPr>
          <w:p w:rsidR="00D86949" w:rsidRPr="00B578FE" w:rsidRDefault="00D86949" w:rsidP="004001A4">
            <w:pPr>
              <w:autoSpaceDE w:val="0"/>
              <w:autoSpaceDN w:val="0"/>
              <w:adjustRightInd w:val="0"/>
              <w:rPr>
                <w:rFonts w:eastAsia="SimSun"/>
                <w:lang w:eastAsia="zh-CN"/>
              </w:rPr>
            </w:pPr>
            <w:r w:rsidRPr="00B578FE">
              <w:rPr>
                <w:rFonts w:eastAsia="SimSun"/>
                <w:lang w:eastAsia="zh-CN"/>
              </w:rPr>
              <w:t>Consummation of Market Exchanges</w:t>
            </w:r>
          </w:p>
        </w:tc>
        <w:tc>
          <w:tcPr>
            <w:tcW w:w="6022" w:type="dxa"/>
          </w:tcPr>
          <w:p w:rsidR="00D86949" w:rsidRPr="00B578FE" w:rsidRDefault="00D86949" w:rsidP="004001A4">
            <w:pPr>
              <w:autoSpaceDE w:val="0"/>
              <w:autoSpaceDN w:val="0"/>
              <w:adjustRightInd w:val="0"/>
              <w:rPr>
                <w:rFonts w:eastAsia="SimSun"/>
                <w:lang w:eastAsia="zh-CN"/>
              </w:rPr>
            </w:pPr>
            <w:r w:rsidRPr="0022291A">
              <w:t>Interdependence and Interconnectedness of Market Relationships</w:t>
            </w:r>
          </w:p>
        </w:tc>
      </w:tr>
      <w:tr w:rsidR="001040F7" w:rsidRPr="0022291A" w:rsidTr="00B578FE">
        <w:trPr>
          <w:trHeight w:val="341"/>
          <w:jc w:val="center"/>
        </w:trPr>
        <w:tc>
          <w:tcPr>
            <w:tcW w:w="2360" w:type="dxa"/>
            <w:vMerge/>
          </w:tcPr>
          <w:p w:rsidR="00D86949" w:rsidRPr="0022291A" w:rsidRDefault="00D86949" w:rsidP="004001A4">
            <w:pPr>
              <w:autoSpaceDE w:val="0"/>
              <w:autoSpaceDN w:val="0"/>
              <w:adjustRightInd w:val="0"/>
              <w:jc w:val="center"/>
              <w:rPr>
                <w:rFonts w:eastAsia="SimSun"/>
                <w:lang w:eastAsia="zh-CN"/>
              </w:rPr>
            </w:pPr>
          </w:p>
        </w:tc>
        <w:tc>
          <w:tcPr>
            <w:tcW w:w="2742" w:type="dxa"/>
          </w:tcPr>
          <w:p w:rsidR="00D86949" w:rsidRPr="00B578FE" w:rsidRDefault="00B578FE" w:rsidP="00B578FE">
            <w:pPr>
              <w:autoSpaceDE w:val="0"/>
              <w:autoSpaceDN w:val="0"/>
              <w:adjustRightInd w:val="0"/>
              <w:jc w:val="center"/>
              <w:rPr>
                <w:rFonts w:eastAsia="SimSun"/>
                <w:lang w:eastAsia="zh-CN"/>
              </w:rPr>
            </w:pPr>
            <w:r>
              <w:rPr>
                <w:rFonts w:eastAsia="SimSun"/>
                <w:lang w:eastAsia="zh-CN"/>
              </w:rPr>
              <w:t xml:space="preserve">Foundational </w:t>
            </w:r>
            <w:r w:rsidR="00D86949" w:rsidRPr="00B578FE">
              <w:rPr>
                <w:rFonts w:eastAsia="SimSun"/>
                <w:lang w:eastAsia="zh-CN"/>
              </w:rPr>
              <w:t>Logics</w:t>
            </w:r>
          </w:p>
        </w:tc>
        <w:tc>
          <w:tcPr>
            <w:tcW w:w="4066" w:type="dxa"/>
          </w:tcPr>
          <w:p w:rsidR="00D86949" w:rsidRPr="00B578FE" w:rsidRDefault="00D86949" w:rsidP="004001A4">
            <w:pPr>
              <w:autoSpaceDE w:val="0"/>
              <w:autoSpaceDN w:val="0"/>
              <w:adjustRightInd w:val="0"/>
              <w:rPr>
                <w:rFonts w:eastAsia="SimSun"/>
                <w:lang w:eastAsia="zh-CN"/>
              </w:rPr>
            </w:pPr>
            <w:r w:rsidRPr="00B578FE">
              <w:rPr>
                <w:rFonts w:eastAsia="SimSun"/>
                <w:lang w:eastAsia="zh-CN"/>
              </w:rPr>
              <w:t>Logics of Consequences</w:t>
            </w:r>
          </w:p>
        </w:tc>
        <w:tc>
          <w:tcPr>
            <w:tcW w:w="6022" w:type="dxa"/>
          </w:tcPr>
          <w:p w:rsidR="00D86949" w:rsidRPr="00B578FE" w:rsidRDefault="00D86949" w:rsidP="004001A4">
            <w:pPr>
              <w:autoSpaceDE w:val="0"/>
              <w:autoSpaceDN w:val="0"/>
              <w:adjustRightInd w:val="0"/>
              <w:rPr>
                <w:rFonts w:eastAsia="SimSun"/>
                <w:lang w:eastAsia="zh-CN"/>
              </w:rPr>
            </w:pPr>
            <w:r w:rsidRPr="00B578FE">
              <w:rPr>
                <w:rFonts w:eastAsia="SimSun"/>
                <w:lang w:eastAsia="zh-CN"/>
              </w:rPr>
              <w:t xml:space="preserve">Logics of Consequences </w:t>
            </w:r>
            <w:r w:rsidRPr="00B578FE">
              <w:rPr>
                <w:rFonts w:eastAsia="SimSun"/>
                <w:u w:val="single"/>
                <w:lang w:eastAsia="zh-CN"/>
              </w:rPr>
              <w:t>and</w:t>
            </w:r>
            <w:r w:rsidRPr="00B578FE">
              <w:rPr>
                <w:rFonts w:eastAsia="SimSun"/>
                <w:lang w:eastAsia="zh-CN"/>
              </w:rPr>
              <w:t xml:space="preserve"> Appropriateness</w:t>
            </w:r>
          </w:p>
        </w:tc>
      </w:tr>
      <w:tr w:rsidR="001040F7" w:rsidRPr="0022291A" w:rsidTr="00B578FE">
        <w:trPr>
          <w:trHeight w:val="521"/>
          <w:jc w:val="center"/>
        </w:trPr>
        <w:tc>
          <w:tcPr>
            <w:tcW w:w="2360" w:type="dxa"/>
            <w:vMerge/>
          </w:tcPr>
          <w:p w:rsidR="00D86949" w:rsidRPr="0022291A" w:rsidRDefault="00D86949" w:rsidP="004001A4">
            <w:pPr>
              <w:autoSpaceDE w:val="0"/>
              <w:autoSpaceDN w:val="0"/>
              <w:adjustRightInd w:val="0"/>
              <w:jc w:val="center"/>
              <w:rPr>
                <w:rFonts w:eastAsia="SimSun"/>
                <w:lang w:eastAsia="zh-CN"/>
              </w:rPr>
            </w:pPr>
          </w:p>
        </w:tc>
        <w:tc>
          <w:tcPr>
            <w:tcW w:w="2742" w:type="dxa"/>
          </w:tcPr>
          <w:p w:rsidR="00D86949" w:rsidRPr="00B578FE" w:rsidRDefault="00D86949" w:rsidP="0067511D">
            <w:pPr>
              <w:autoSpaceDE w:val="0"/>
              <w:autoSpaceDN w:val="0"/>
              <w:adjustRightInd w:val="0"/>
              <w:jc w:val="center"/>
              <w:rPr>
                <w:rFonts w:eastAsia="SimSun"/>
                <w:lang w:eastAsia="zh-CN"/>
              </w:rPr>
            </w:pPr>
            <w:r w:rsidRPr="00B578FE">
              <w:rPr>
                <w:rFonts w:eastAsia="SimSun"/>
                <w:lang w:eastAsia="zh-CN"/>
              </w:rPr>
              <w:t xml:space="preserve">Market </w:t>
            </w:r>
            <w:r w:rsidR="00B578FE">
              <w:rPr>
                <w:rFonts w:eastAsia="SimSun"/>
                <w:lang w:eastAsia="zh-CN"/>
              </w:rPr>
              <w:t>Mechanisms</w:t>
            </w:r>
          </w:p>
        </w:tc>
        <w:tc>
          <w:tcPr>
            <w:tcW w:w="4066" w:type="dxa"/>
          </w:tcPr>
          <w:p w:rsidR="00D86949" w:rsidRPr="00B578FE" w:rsidRDefault="00D760DA" w:rsidP="00D760DA">
            <w:pPr>
              <w:autoSpaceDE w:val="0"/>
              <w:autoSpaceDN w:val="0"/>
              <w:adjustRightInd w:val="0"/>
              <w:rPr>
                <w:rFonts w:eastAsia="SimSun"/>
                <w:lang w:eastAsia="zh-CN"/>
              </w:rPr>
            </w:pPr>
            <w:r>
              <w:rPr>
                <w:rFonts w:eastAsia="SimSun"/>
                <w:lang w:eastAsia="zh-CN"/>
              </w:rPr>
              <w:t>C</w:t>
            </w:r>
            <w:r w:rsidR="00D86949" w:rsidRPr="00B578FE">
              <w:rPr>
                <w:rFonts w:eastAsia="SimSun"/>
                <w:lang w:eastAsia="zh-CN"/>
              </w:rPr>
              <w:t>reating and extracting value</w:t>
            </w:r>
          </w:p>
        </w:tc>
        <w:tc>
          <w:tcPr>
            <w:tcW w:w="6022" w:type="dxa"/>
          </w:tcPr>
          <w:p w:rsidR="00D86949" w:rsidRPr="00B578FE" w:rsidRDefault="00D760DA" w:rsidP="00D760DA">
            <w:pPr>
              <w:autoSpaceDE w:val="0"/>
              <w:autoSpaceDN w:val="0"/>
              <w:adjustRightInd w:val="0"/>
              <w:rPr>
                <w:rFonts w:eastAsia="SimSun"/>
                <w:lang w:eastAsia="zh-CN"/>
              </w:rPr>
            </w:pPr>
            <w:r>
              <w:rPr>
                <w:rFonts w:eastAsia="SimSun"/>
                <w:lang w:eastAsia="zh-CN"/>
              </w:rPr>
              <w:t>B</w:t>
            </w:r>
            <w:r w:rsidR="001040F7">
              <w:rPr>
                <w:rFonts w:eastAsia="SimSun"/>
                <w:lang w:eastAsia="zh-CN"/>
              </w:rPr>
              <w:t xml:space="preserve">alancing value </w:t>
            </w:r>
            <w:r w:rsidR="00DB2FA7">
              <w:rPr>
                <w:rFonts w:eastAsia="SimSun"/>
                <w:lang w:eastAsia="zh-CN"/>
              </w:rPr>
              <w:t xml:space="preserve">extraction </w:t>
            </w:r>
            <w:r w:rsidR="001040F7">
              <w:rPr>
                <w:rFonts w:eastAsia="SimSun"/>
                <w:lang w:eastAsia="zh-CN"/>
              </w:rPr>
              <w:t xml:space="preserve">and legitimacy </w:t>
            </w:r>
            <w:r w:rsidR="00DB2FA7">
              <w:rPr>
                <w:rFonts w:eastAsia="SimSun"/>
                <w:lang w:eastAsia="zh-CN"/>
              </w:rPr>
              <w:t>gains</w:t>
            </w:r>
          </w:p>
        </w:tc>
      </w:tr>
      <w:tr w:rsidR="001040F7" w:rsidRPr="0022291A" w:rsidTr="00B578FE">
        <w:trPr>
          <w:trHeight w:val="566"/>
          <w:jc w:val="center"/>
        </w:trPr>
        <w:tc>
          <w:tcPr>
            <w:tcW w:w="2360" w:type="dxa"/>
            <w:vMerge w:val="restart"/>
          </w:tcPr>
          <w:p w:rsidR="00D86949" w:rsidRDefault="00D86949" w:rsidP="004001A4">
            <w:pPr>
              <w:autoSpaceDE w:val="0"/>
              <w:autoSpaceDN w:val="0"/>
              <w:adjustRightInd w:val="0"/>
              <w:jc w:val="center"/>
              <w:rPr>
                <w:rFonts w:eastAsia="SimSun"/>
                <w:lang w:eastAsia="zh-CN"/>
              </w:rPr>
            </w:pPr>
          </w:p>
          <w:p w:rsidR="00D86949" w:rsidRDefault="00D86949" w:rsidP="004001A4">
            <w:pPr>
              <w:autoSpaceDE w:val="0"/>
              <w:autoSpaceDN w:val="0"/>
              <w:adjustRightInd w:val="0"/>
              <w:jc w:val="center"/>
              <w:rPr>
                <w:rFonts w:eastAsia="SimSun"/>
                <w:lang w:eastAsia="zh-CN"/>
              </w:rPr>
            </w:pPr>
          </w:p>
          <w:p w:rsidR="00D86949" w:rsidRPr="00B578FE" w:rsidRDefault="00DB2FA7" w:rsidP="00DB2FA7">
            <w:pPr>
              <w:autoSpaceDE w:val="0"/>
              <w:autoSpaceDN w:val="0"/>
              <w:adjustRightInd w:val="0"/>
              <w:jc w:val="center"/>
              <w:rPr>
                <w:rFonts w:eastAsia="SimSun"/>
                <w:b/>
                <w:i/>
                <w:lang w:eastAsia="zh-CN"/>
              </w:rPr>
            </w:pPr>
            <w:r>
              <w:rPr>
                <w:rFonts w:eastAsia="SimSun"/>
                <w:b/>
                <w:i/>
                <w:lang w:eastAsia="zh-CN"/>
              </w:rPr>
              <w:t>Premises</w:t>
            </w:r>
          </w:p>
        </w:tc>
        <w:tc>
          <w:tcPr>
            <w:tcW w:w="2742" w:type="dxa"/>
          </w:tcPr>
          <w:p w:rsidR="00D86949" w:rsidRPr="00B578FE" w:rsidRDefault="00D86949" w:rsidP="004001A4">
            <w:pPr>
              <w:autoSpaceDE w:val="0"/>
              <w:autoSpaceDN w:val="0"/>
              <w:adjustRightInd w:val="0"/>
              <w:jc w:val="center"/>
              <w:rPr>
                <w:rFonts w:eastAsia="SimSun"/>
                <w:lang w:eastAsia="zh-CN"/>
              </w:rPr>
            </w:pPr>
            <w:r w:rsidRPr="00B578FE">
              <w:rPr>
                <w:rFonts w:eastAsia="SimSun"/>
                <w:lang w:eastAsia="zh-CN"/>
              </w:rPr>
              <w:t>Agency</w:t>
            </w:r>
          </w:p>
        </w:tc>
        <w:tc>
          <w:tcPr>
            <w:tcW w:w="4066" w:type="dxa"/>
          </w:tcPr>
          <w:p w:rsidR="00D86949" w:rsidRPr="00B578FE" w:rsidRDefault="00407674" w:rsidP="00407674">
            <w:pPr>
              <w:autoSpaceDE w:val="0"/>
              <w:autoSpaceDN w:val="0"/>
              <w:adjustRightInd w:val="0"/>
              <w:rPr>
                <w:rFonts w:eastAsia="SimSun"/>
                <w:lang w:eastAsia="zh-CN"/>
              </w:rPr>
            </w:pPr>
            <w:r>
              <w:rPr>
                <w:rFonts w:eastAsia="SimSun"/>
                <w:lang w:eastAsia="zh-CN"/>
              </w:rPr>
              <w:t>Managerial</w:t>
            </w:r>
            <w:r w:rsidR="00D86949" w:rsidRPr="00B578FE">
              <w:rPr>
                <w:rFonts w:eastAsia="SimSun"/>
                <w:lang w:eastAsia="zh-CN"/>
              </w:rPr>
              <w:t xml:space="preserve"> act</w:t>
            </w:r>
            <w:r>
              <w:rPr>
                <w:rFonts w:eastAsia="SimSun"/>
                <w:lang w:eastAsia="zh-CN"/>
              </w:rPr>
              <w:t xml:space="preserve">ions are sufficient to </w:t>
            </w:r>
            <w:r w:rsidR="00D86949" w:rsidRPr="00B578FE">
              <w:rPr>
                <w:rFonts w:eastAsia="SimSun"/>
                <w:lang w:eastAsia="zh-CN"/>
              </w:rPr>
              <w:t xml:space="preserve">assert control </w:t>
            </w:r>
            <w:r w:rsidR="00DB2FA7">
              <w:rPr>
                <w:rFonts w:eastAsia="SimSun"/>
                <w:lang w:eastAsia="zh-CN"/>
              </w:rPr>
              <w:t xml:space="preserve">to structure </w:t>
            </w:r>
            <w:r w:rsidR="00AC4770">
              <w:rPr>
                <w:rFonts w:eastAsia="SimSun"/>
                <w:lang w:eastAsia="zh-CN"/>
              </w:rPr>
              <w:t xml:space="preserve">and shape </w:t>
            </w:r>
            <w:r w:rsidR="00DB2FA7">
              <w:rPr>
                <w:rFonts w:eastAsia="SimSun"/>
                <w:lang w:eastAsia="zh-CN"/>
              </w:rPr>
              <w:t>mar</w:t>
            </w:r>
            <w:r w:rsidR="00D86949" w:rsidRPr="00B578FE">
              <w:rPr>
                <w:rFonts w:eastAsia="SimSun"/>
                <w:lang w:eastAsia="zh-CN"/>
              </w:rPr>
              <w:t>ket exchanges</w:t>
            </w:r>
            <w:r w:rsidR="00DB2FA7">
              <w:rPr>
                <w:rFonts w:eastAsia="SimSun"/>
                <w:lang w:eastAsia="zh-CN"/>
              </w:rPr>
              <w:t xml:space="preserve"> in the value chain</w:t>
            </w:r>
          </w:p>
        </w:tc>
        <w:tc>
          <w:tcPr>
            <w:tcW w:w="6022" w:type="dxa"/>
          </w:tcPr>
          <w:p w:rsidR="00D86949" w:rsidRPr="00B578FE" w:rsidRDefault="00407674" w:rsidP="00AC4770">
            <w:pPr>
              <w:autoSpaceDE w:val="0"/>
              <w:autoSpaceDN w:val="0"/>
              <w:adjustRightInd w:val="0"/>
              <w:rPr>
                <w:rFonts w:eastAsia="SimSun"/>
                <w:lang w:eastAsia="zh-CN"/>
              </w:rPr>
            </w:pPr>
            <w:r>
              <w:t>M</w:t>
            </w:r>
            <w:r w:rsidR="00D86949" w:rsidRPr="0022291A">
              <w:t>a</w:t>
            </w:r>
            <w:r w:rsidR="00AC4770">
              <w:t>nagerial actions are in</w:t>
            </w:r>
            <w:r w:rsidR="00D86949" w:rsidRPr="0022291A">
              <w:t xml:space="preserve">sufficient </w:t>
            </w:r>
            <w:r>
              <w:t xml:space="preserve">to unilaterally </w:t>
            </w:r>
            <w:r w:rsidR="00D86949" w:rsidRPr="0022291A">
              <w:t xml:space="preserve">structure </w:t>
            </w:r>
            <w:r w:rsidR="00DB2FA7">
              <w:rPr>
                <w:rFonts w:eastAsia="SimSun"/>
                <w:lang w:eastAsia="zh-CN"/>
              </w:rPr>
              <w:t>mar</w:t>
            </w:r>
            <w:r w:rsidR="00DB2FA7" w:rsidRPr="00B578FE">
              <w:rPr>
                <w:rFonts w:eastAsia="SimSun"/>
                <w:lang w:eastAsia="zh-CN"/>
              </w:rPr>
              <w:t>ket exchanges</w:t>
            </w:r>
            <w:r w:rsidR="00DB2FA7">
              <w:rPr>
                <w:rFonts w:eastAsia="SimSun"/>
                <w:lang w:eastAsia="zh-CN"/>
              </w:rPr>
              <w:t xml:space="preserve"> in the value chain</w:t>
            </w:r>
            <w:r>
              <w:rPr>
                <w:rFonts w:eastAsia="SimSun"/>
                <w:lang w:eastAsia="zh-CN"/>
              </w:rPr>
              <w:t xml:space="preserve">; instead, </w:t>
            </w:r>
            <w:r w:rsidR="00AC4770">
              <w:rPr>
                <w:rFonts w:eastAsia="SimSun"/>
                <w:lang w:eastAsia="zh-CN"/>
              </w:rPr>
              <w:t>outcomes of managerial actions are influenced by system interdependence.</w:t>
            </w:r>
          </w:p>
        </w:tc>
      </w:tr>
      <w:tr w:rsidR="001040F7" w:rsidRPr="0022291A" w:rsidTr="003746E8">
        <w:trPr>
          <w:trHeight w:val="720"/>
          <w:jc w:val="center"/>
        </w:trPr>
        <w:tc>
          <w:tcPr>
            <w:tcW w:w="2360" w:type="dxa"/>
            <w:vMerge/>
          </w:tcPr>
          <w:p w:rsidR="00D86949" w:rsidRPr="0022291A" w:rsidRDefault="00D86949" w:rsidP="004001A4">
            <w:pPr>
              <w:autoSpaceDE w:val="0"/>
              <w:autoSpaceDN w:val="0"/>
              <w:adjustRightInd w:val="0"/>
              <w:jc w:val="center"/>
              <w:rPr>
                <w:rFonts w:eastAsia="SimSun"/>
                <w:lang w:eastAsia="zh-CN"/>
              </w:rPr>
            </w:pPr>
          </w:p>
        </w:tc>
        <w:tc>
          <w:tcPr>
            <w:tcW w:w="2160" w:type="dxa"/>
          </w:tcPr>
          <w:p w:rsidR="00D86949" w:rsidRPr="00B578FE" w:rsidRDefault="00D86949" w:rsidP="00DB2FA7">
            <w:pPr>
              <w:autoSpaceDE w:val="0"/>
              <w:autoSpaceDN w:val="0"/>
              <w:adjustRightInd w:val="0"/>
              <w:jc w:val="center"/>
              <w:rPr>
                <w:rFonts w:eastAsia="SimSun"/>
                <w:lang w:eastAsia="zh-CN"/>
              </w:rPr>
            </w:pPr>
            <w:r w:rsidRPr="00B578FE">
              <w:rPr>
                <w:rFonts w:eastAsia="SimSun"/>
                <w:lang w:eastAsia="zh-CN"/>
              </w:rPr>
              <w:t xml:space="preserve">Market </w:t>
            </w:r>
            <w:r>
              <w:rPr>
                <w:rFonts w:eastAsia="SimSun"/>
                <w:lang w:eastAsia="zh-CN"/>
              </w:rPr>
              <w:t>Sta</w:t>
            </w:r>
            <w:r w:rsidR="00DB2FA7">
              <w:rPr>
                <w:rFonts w:eastAsia="SimSun"/>
                <w:lang w:eastAsia="zh-CN"/>
              </w:rPr>
              <w:t>te</w:t>
            </w:r>
          </w:p>
        </w:tc>
        <w:tc>
          <w:tcPr>
            <w:tcW w:w="2160" w:type="dxa"/>
          </w:tcPr>
          <w:p w:rsidR="00D86949" w:rsidRPr="00B578FE" w:rsidRDefault="003746E8" w:rsidP="003746E8">
            <w:pPr>
              <w:autoSpaceDE w:val="0"/>
              <w:autoSpaceDN w:val="0"/>
              <w:adjustRightInd w:val="0"/>
              <w:rPr>
                <w:rFonts w:eastAsia="SimSun"/>
                <w:lang w:eastAsia="zh-CN"/>
              </w:rPr>
            </w:pPr>
            <w:r>
              <w:rPr>
                <w:rFonts w:eastAsia="SimSun"/>
                <w:lang w:eastAsia="zh-CN"/>
              </w:rPr>
              <w:t>Orderly m</w:t>
            </w:r>
            <w:r w:rsidR="00DB2FA7">
              <w:rPr>
                <w:rFonts w:eastAsia="SimSun"/>
                <w:lang w:eastAsia="zh-CN"/>
              </w:rPr>
              <w:t>ovement toward s</w:t>
            </w:r>
            <w:r w:rsidR="00D86949" w:rsidRPr="00B578FE">
              <w:rPr>
                <w:rFonts w:eastAsia="SimSun"/>
                <w:lang w:eastAsia="zh-CN"/>
              </w:rPr>
              <w:t>tability and equilibrium</w:t>
            </w:r>
          </w:p>
        </w:tc>
        <w:tc>
          <w:tcPr>
            <w:tcW w:w="2160" w:type="dxa"/>
          </w:tcPr>
          <w:p w:rsidR="00D86949" w:rsidRPr="00B578FE" w:rsidRDefault="003746E8" w:rsidP="003746E8">
            <w:pPr>
              <w:autoSpaceDE w:val="0"/>
              <w:autoSpaceDN w:val="0"/>
              <w:adjustRightInd w:val="0"/>
              <w:rPr>
                <w:rFonts w:eastAsia="SimSun"/>
                <w:lang w:eastAsia="zh-CN"/>
              </w:rPr>
            </w:pPr>
            <w:r>
              <w:t>Disorderly m</w:t>
            </w:r>
            <w:r w:rsidR="00DB2FA7">
              <w:t xml:space="preserve">ovement toward </w:t>
            </w:r>
            <w:r w:rsidR="00D86949" w:rsidRPr="0022291A">
              <w:t>less differentiated structures and possible dissolution</w:t>
            </w:r>
          </w:p>
        </w:tc>
      </w:tr>
      <w:tr w:rsidR="001040F7" w:rsidRPr="0022291A" w:rsidTr="00B578FE">
        <w:trPr>
          <w:trHeight w:val="872"/>
          <w:jc w:val="center"/>
        </w:trPr>
        <w:tc>
          <w:tcPr>
            <w:tcW w:w="2360" w:type="dxa"/>
            <w:vMerge w:val="restart"/>
          </w:tcPr>
          <w:p w:rsidR="00D86949" w:rsidRDefault="00D86949" w:rsidP="004001A4">
            <w:pPr>
              <w:autoSpaceDE w:val="0"/>
              <w:autoSpaceDN w:val="0"/>
              <w:adjustRightInd w:val="0"/>
              <w:jc w:val="center"/>
              <w:rPr>
                <w:rFonts w:eastAsia="SimSun"/>
                <w:b/>
                <w:i/>
                <w:lang w:eastAsia="zh-CN"/>
              </w:rPr>
            </w:pPr>
          </w:p>
          <w:p w:rsidR="00D86949" w:rsidRDefault="00D86949" w:rsidP="004001A4">
            <w:pPr>
              <w:autoSpaceDE w:val="0"/>
              <w:autoSpaceDN w:val="0"/>
              <w:adjustRightInd w:val="0"/>
              <w:jc w:val="center"/>
              <w:rPr>
                <w:rFonts w:eastAsia="SimSun"/>
                <w:b/>
                <w:i/>
                <w:lang w:eastAsia="zh-CN"/>
              </w:rPr>
            </w:pPr>
          </w:p>
          <w:p w:rsidR="00D86949" w:rsidRDefault="00D86949" w:rsidP="004001A4">
            <w:pPr>
              <w:autoSpaceDE w:val="0"/>
              <w:autoSpaceDN w:val="0"/>
              <w:adjustRightInd w:val="0"/>
              <w:jc w:val="center"/>
              <w:rPr>
                <w:rFonts w:eastAsia="SimSun"/>
                <w:b/>
                <w:i/>
                <w:lang w:eastAsia="zh-CN"/>
              </w:rPr>
            </w:pPr>
          </w:p>
          <w:p w:rsidR="00D86949" w:rsidRDefault="00D86949" w:rsidP="004001A4">
            <w:pPr>
              <w:autoSpaceDE w:val="0"/>
              <w:autoSpaceDN w:val="0"/>
              <w:adjustRightInd w:val="0"/>
              <w:jc w:val="center"/>
              <w:rPr>
                <w:rFonts w:eastAsia="SimSun"/>
                <w:b/>
                <w:i/>
                <w:lang w:eastAsia="zh-CN"/>
              </w:rPr>
            </w:pPr>
          </w:p>
          <w:p w:rsidR="00D86949" w:rsidRPr="00B578FE" w:rsidRDefault="003746E8" w:rsidP="000C0645">
            <w:pPr>
              <w:autoSpaceDE w:val="0"/>
              <w:autoSpaceDN w:val="0"/>
              <w:adjustRightInd w:val="0"/>
              <w:jc w:val="center"/>
              <w:rPr>
                <w:rFonts w:eastAsia="SimSun"/>
                <w:b/>
                <w:lang w:eastAsia="zh-CN"/>
              </w:rPr>
            </w:pPr>
            <w:r>
              <w:rPr>
                <w:rFonts w:eastAsia="SimSun"/>
                <w:b/>
                <w:i/>
                <w:lang w:eastAsia="zh-CN"/>
              </w:rPr>
              <w:t xml:space="preserve">Key </w:t>
            </w:r>
            <w:r w:rsidR="000C0645">
              <w:rPr>
                <w:rFonts w:eastAsia="SimSun"/>
                <w:b/>
                <w:i/>
                <w:lang w:eastAsia="zh-CN"/>
              </w:rPr>
              <w:t>Questions</w:t>
            </w:r>
            <w:r>
              <w:rPr>
                <w:rFonts w:eastAsia="SimSun"/>
                <w:b/>
                <w:i/>
                <w:lang w:eastAsia="zh-CN"/>
              </w:rPr>
              <w:t xml:space="preserve"> and Mechanisms</w:t>
            </w:r>
          </w:p>
        </w:tc>
        <w:tc>
          <w:tcPr>
            <w:tcW w:w="2742" w:type="dxa"/>
          </w:tcPr>
          <w:p w:rsidR="00D86949" w:rsidRPr="00B578FE" w:rsidRDefault="00D86949" w:rsidP="00B578FE">
            <w:pPr>
              <w:autoSpaceDE w:val="0"/>
              <w:autoSpaceDN w:val="0"/>
              <w:adjustRightInd w:val="0"/>
              <w:jc w:val="center"/>
              <w:rPr>
                <w:rFonts w:eastAsia="SimSun"/>
                <w:lang w:eastAsia="zh-CN"/>
              </w:rPr>
            </w:pPr>
            <w:r w:rsidRPr="00B578FE">
              <w:rPr>
                <w:rFonts w:eastAsia="SimSun"/>
                <w:lang w:eastAsia="zh-CN"/>
              </w:rPr>
              <w:t>Guiding Questions</w:t>
            </w:r>
          </w:p>
        </w:tc>
        <w:tc>
          <w:tcPr>
            <w:tcW w:w="4066" w:type="dxa"/>
          </w:tcPr>
          <w:p w:rsidR="00D86949" w:rsidRPr="00B578FE" w:rsidRDefault="00803513" w:rsidP="00CD28C7">
            <w:pPr>
              <w:autoSpaceDE w:val="0"/>
              <w:autoSpaceDN w:val="0"/>
              <w:adjustRightInd w:val="0"/>
              <w:rPr>
                <w:rFonts w:eastAsia="SimSun"/>
                <w:lang w:eastAsia="zh-CN"/>
              </w:rPr>
            </w:pPr>
            <w:r>
              <w:rPr>
                <w:rFonts w:eastAsia="SimSun"/>
                <w:lang w:eastAsia="zh-CN"/>
              </w:rPr>
              <w:t xml:space="preserve">How, when and why do </w:t>
            </w:r>
            <w:r w:rsidRPr="00B578FE">
              <w:rPr>
                <w:rFonts w:eastAsia="SimSun"/>
                <w:lang w:eastAsia="zh-CN"/>
              </w:rPr>
              <w:t>market</w:t>
            </w:r>
            <w:r>
              <w:rPr>
                <w:rFonts w:eastAsia="SimSun"/>
                <w:lang w:eastAsia="zh-CN"/>
              </w:rPr>
              <w:t xml:space="preserve">-mix </w:t>
            </w:r>
            <w:r w:rsidRPr="00B578FE">
              <w:rPr>
                <w:rFonts w:eastAsia="SimSun"/>
                <w:lang w:eastAsia="zh-CN"/>
              </w:rPr>
              <w:t xml:space="preserve">instruments </w:t>
            </w:r>
            <w:r>
              <w:rPr>
                <w:rFonts w:eastAsia="SimSun"/>
                <w:lang w:eastAsia="zh-CN"/>
              </w:rPr>
              <w:t>influence value chain partners</w:t>
            </w:r>
            <w:r w:rsidRPr="00B578FE">
              <w:rPr>
                <w:rFonts w:eastAsia="SimSun"/>
                <w:lang w:eastAsia="zh-CN"/>
              </w:rPr>
              <w:t xml:space="preserve">, and </w:t>
            </w:r>
            <w:r>
              <w:rPr>
                <w:rFonts w:eastAsia="SimSun"/>
                <w:lang w:eastAsia="zh-CN"/>
              </w:rPr>
              <w:t xml:space="preserve">how to optimize return on </w:t>
            </w:r>
            <w:r w:rsidRPr="00B578FE">
              <w:rPr>
                <w:rFonts w:eastAsia="SimSun"/>
                <w:lang w:eastAsia="zh-CN"/>
              </w:rPr>
              <w:t>the</w:t>
            </w:r>
            <w:r>
              <w:rPr>
                <w:rFonts w:eastAsia="SimSun"/>
                <w:lang w:eastAsia="zh-CN"/>
              </w:rPr>
              <w:t>se instruments</w:t>
            </w:r>
          </w:p>
        </w:tc>
        <w:tc>
          <w:tcPr>
            <w:tcW w:w="6022" w:type="dxa"/>
          </w:tcPr>
          <w:p w:rsidR="00D86949" w:rsidRPr="00B578FE" w:rsidRDefault="00803513" w:rsidP="00D5517D">
            <w:pPr>
              <w:autoSpaceDE w:val="0"/>
              <w:autoSpaceDN w:val="0"/>
              <w:adjustRightInd w:val="0"/>
              <w:rPr>
                <w:rFonts w:eastAsia="SimSun"/>
                <w:lang w:eastAsia="zh-CN"/>
              </w:rPr>
            </w:pPr>
            <w:r>
              <w:t xml:space="preserve">How, when and why do </w:t>
            </w:r>
            <w:r w:rsidRPr="0022291A">
              <w:t>market</w:t>
            </w:r>
            <w:r>
              <w:t xml:space="preserve"> actions enhance or diminish s</w:t>
            </w:r>
            <w:r w:rsidRPr="0022291A">
              <w:t xml:space="preserve">ystem and organizational legitimacy, and </w:t>
            </w:r>
            <w:r>
              <w:t>how to enhance the effectiveness of market actions</w:t>
            </w:r>
          </w:p>
        </w:tc>
      </w:tr>
      <w:tr w:rsidR="001040F7" w:rsidRPr="0022291A" w:rsidTr="00B578FE">
        <w:trPr>
          <w:trHeight w:val="384"/>
          <w:jc w:val="center"/>
        </w:trPr>
        <w:tc>
          <w:tcPr>
            <w:tcW w:w="2360" w:type="dxa"/>
            <w:vMerge/>
          </w:tcPr>
          <w:p w:rsidR="00D86949" w:rsidRPr="0022291A" w:rsidRDefault="00D86949" w:rsidP="004001A4">
            <w:pPr>
              <w:autoSpaceDE w:val="0"/>
              <w:autoSpaceDN w:val="0"/>
              <w:adjustRightInd w:val="0"/>
              <w:jc w:val="center"/>
              <w:rPr>
                <w:rFonts w:eastAsia="SimSun"/>
                <w:lang w:eastAsia="zh-CN"/>
              </w:rPr>
            </w:pPr>
          </w:p>
        </w:tc>
        <w:tc>
          <w:tcPr>
            <w:tcW w:w="2742" w:type="dxa"/>
          </w:tcPr>
          <w:p w:rsidR="00D86949" w:rsidRPr="00B578FE" w:rsidRDefault="00D86949" w:rsidP="00803513">
            <w:pPr>
              <w:autoSpaceDE w:val="0"/>
              <w:autoSpaceDN w:val="0"/>
              <w:adjustRightInd w:val="0"/>
              <w:jc w:val="center"/>
              <w:rPr>
                <w:rFonts w:eastAsia="SimSun"/>
                <w:lang w:eastAsia="zh-CN"/>
              </w:rPr>
            </w:pPr>
            <w:r w:rsidRPr="00B578FE">
              <w:rPr>
                <w:rFonts w:eastAsia="SimSun"/>
                <w:lang w:eastAsia="zh-CN"/>
              </w:rPr>
              <w:t>Market</w:t>
            </w:r>
            <w:r w:rsidR="00803513">
              <w:rPr>
                <w:rFonts w:eastAsia="SimSun"/>
                <w:lang w:eastAsia="zh-CN"/>
              </w:rPr>
              <w:t xml:space="preserve"> Concepts</w:t>
            </w:r>
          </w:p>
        </w:tc>
        <w:tc>
          <w:tcPr>
            <w:tcW w:w="4066" w:type="dxa"/>
          </w:tcPr>
          <w:p w:rsidR="00D86949" w:rsidRPr="00B578FE" w:rsidRDefault="00D86949" w:rsidP="00D5517D">
            <w:pPr>
              <w:autoSpaceDE w:val="0"/>
              <w:autoSpaceDN w:val="0"/>
              <w:adjustRightInd w:val="0"/>
              <w:rPr>
                <w:rFonts w:eastAsia="SimSun"/>
                <w:lang w:eastAsia="zh-CN"/>
              </w:rPr>
            </w:pPr>
            <w:r w:rsidRPr="00B578FE">
              <w:rPr>
                <w:rFonts w:eastAsia="SimSun"/>
                <w:lang w:eastAsia="zh-CN"/>
              </w:rPr>
              <w:t>Detailing, sampling, advertising, and networks that are critical to extracting value from market exchanges</w:t>
            </w:r>
          </w:p>
        </w:tc>
        <w:tc>
          <w:tcPr>
            <w:tcW w:w="6022" w:type="dxa"/>
          </w:tcPr>
          <w:p w:rsidR="00D86949" w:rsidRPr="0022291A" w:rsidRDefault="00D86949" w:rsidP="0065211E">
            <w:pPr>
              <w:autoSpaceDE w:val="0"/>
              <w:autoSpaceDN w:val="0"/>
              <w:adjustRightInd w:val="0"/>
            </w:pPr>
            <w:r w:rsidRPr="0022291A">
              <w:t>Contested logics, differentiation, progressive mechanization, market dilemmas</w:t>
            </w:r>
            <w:r>
              <w:t>,</w:t>
            </w:r>
            <w:r w:rsidRPr="0022291A">
              <w:t xml:space="preserve"> and equifinality that </w:t>
            </w:r>
            <w:r>
              <w:t>are</w:t>
            </w:r>
            <w:r w:rsidRPr="0022291A">
              <w:t xml:space="preserve"> critical to </w:t>
            </w:r>
            <w:r w:rsidR="0065211E">
              <w:t xml:space="preserve">enhancing </w:t>
            </w:r>
            <w:r>
              <w:t xml:space="preserve">system </w:t>
            </w:r>
            <w:r w:rsidR="0065211E">
              <w:t xml:space="preserve">and organizational </w:t>
            </w:r>
            <w:r w:rsidR="00D5517D">
              <w:t>legitimacy</w:t>
            </w:r>
          </w:p>
        </w:tc>
      </w:tr>
      <w:tr w:rsidR="001040F7" w:rsidRPr="0022291A" w:rsidTr="00B578FE">
        <w:trPr>
          <w:trHeight w:val="1034"/>
          <w:jc w:val="center"/>
        </w:trPr>
        <w:tc>
          <w:tcPr>
            <w:tcW w:w="2360" w:type="dxa"/>
            <w:vMerge/>
          </w:tcPr>
          <w:p w:rsidR="00D86949" w:rsidRPr="0022291A" w:rsidRDefault="00D86949" w:rsidP="004001A4">
            <w:pPr>
              <w:autoSpaceDE w:val="0"/>
              <w:autoSpaceDN w:val="0"/>
              <w:adjustRightInd w:val="0"/>
              <w:jc w:val="center"/>
              <w:rPr>
                <w:rFonts w:eastAsia="SimSun"/>
                <w:lang w:eastAsia="zh-CN"/>
              </w:rPr>
            </w:pPr>
          </w:p>
        </w:tc>
        <w:tc>
          <w:tcPr>
            <w:tcW w:w="2742" w:type="dxa"/>
          </w:tcPr>
          <w:p w:rsidR="00D86949" w:rsidRPr="00B578FE" w:rsidRDefault="00D86949" w:rsidP="004001A4">
            <w:pPr>
              <w:autoSpaceDE w:val="0"/>
              <w:autoSpaceDN w:val="0"/>
              <w:adjustRightInd w:val="0"/>
              <w:jc w:val="center"/>
              <w:rPr>
                <w:rFonts w:eastAsia="SimSun"/>
                <w:lang w:eastAsia="zh-CN"/>
              </w:rPr>
            </w:pPr>
            <w:r w:rsidRPr="0022291A">
              <w:rPr>
                <w:rFonts w:eastAsia="SimSun"/>
                <w:lang w:eastAsia="zh-CN"/>
              </w:rPr>
              <w:t>Market Order</w:t>
            </w:r>
          </w:p>
        </w:tc>
        <w:tc>
          <w:tcPr>
            <w:tcW w:w="4066" w:type="dxa"/>
          </w:tcPr>
          <w:p w:rsidR="00D86949" w:rsidRPr="00B578FE" w:rsidRDefault="00D86949" w:rsidP="00D760DA">
            <w:pPr>
              <w:autoSpaceDE w:val="0"/>
              <w:autoSpaceDN w:val="0"/>
              <w:adjustRightInd w:val="0"/>
              <w:rPr>
                <w:rFonts w:eastAsia="SimSun"/>
                <w:lang w:eastAsia="zh-CN"/>
              </w:rPr>
            </w:pPr>
            <w:r w:rsidRPr="0022291A">
              <w:rPr>
                <w:rFonts w:eastAsia="SimSun"/>
                <w:lang w:eastAsia="zh-CN"/>
              </w:rPr>
              <w:t xml:space="preserve">Emerges through top-down processes supported by </w:t>
            </w:r>
            <w:r w:rsidR="00D5517D">
              <w:rPr>
                <w:rFonts w:eastAsia="SimSun"/>
                <w:lang w:eastAsia="zh-CN"/>
              </w:rPr>
              <w:t xml:space="preserve">market-mix </w:t>
            </w:r>
            <w:r w:rsidRPr="0022291A">
              <w:rPr>
                <w:rFonts w:eastAsia="SimSun"/>
                <w:lang w:eastAsia="zh-CN"/>
              </w:rPr>
              <w:t xml:space="preserve">instruments </w:t>
            </w:r>
            <w:r w:rsidR="00D760DA">
              <w:rPr>
                <w:rFonts w:eastAsia="SimSun"/>
                <w:lang w:eastAsia="zh-CN"/>
              </w:rPr>
              <w:t xml:space="preserve">that </w:t>
            </w:r>
            <w:r w:rsidRPr="0022291A">
              <w:rPr>
                <w:rFonts w:eastAsia="SimSun"/>
                <w:lang w:eastAsia="zh-CN"/>
              </w:rPr>
              <w:t xml:space="preserve">the </w:t>
            </w:r>
            <w:r w:rsidR="00244595">
              <w:rPr>
                <w:rFonts w:eastAsia="SimSun"/>
                <w:lang w:eastAsia="zh-CN"/>
              </w:rPr>
              <w:t xml:space="preserve">market actors </w:t>
            </w:r>
            <w:r w:rsidR="00D760DA">
              <w:rPr>
                <w:rFonts w:eastAsia="SimSun"/>
                <w:lang w:eastAsia="zh-CN"/>
              </w:rPr>
              <w:t>deploy</w:t>
            </w:r>
            <w:r w:rsidRPr="0022291A">
              <w:rPr>
                <w:rFonts w:eastAsia="SimSun"/>
                <w:lang w:eastAsia="zh-CN"/>
              </w:rPr>
              <w:t xml:space="preserve"> to align market exchanges with </w:t>
            </w:r>
            <w:r w:rsidR="00D760DA">
              <w:rPr>
                <w:rFonts w:eastAsia="SimSun"/>
                <w:lang w:eastAsia="zh-CN"/>
              </w:rPr>
              <w:t>their</w:t>
            </w:r>
            <w:r w:rsidRPr="0022291A">
              <w:rPr>
                <w:rFonts w:eastAsia="SimSun"/>
                <w:lang w:eastAsia="zh-CN"/>
              </w:rPr>
              <w:t xml:space="preserve"> favored logics</w:t>
            </w:r>
          </w:p>
        </w:tc>
        <w:tc>
          <w:tcPr>
            <w:tcW w:w="6022" w:type="dxa"/>
          </w:tcPr>
          <w:p w:rsidR="00D86949" w:rsidRPr="00B578FE" w:rsidRDefault="00D86949" w:rsidP="00D760DA">
            <w:pPr>
              <w:autoSpaceDE w:val="0"/>
              <w:autoSpaceDN w:val="0"/>
              <w:adjustRightInd w:val="0"/>
              <w:rPr>
                <w:rFonts w:eastAsia="SimSun"/>
                <w:lang w:eastAsia="zh-CN"/>
              </w:rPr>
            </w:pPr>
            <w:r w:rsidRPr="0022291A">
              <w:t xml:space="preserve">Emerges in bottom-up, self organizing processes </w:t>
            </w:r>
            <w:r w:rsidR="00D760DA">
              <w:t xml:space="preserve">that </w:t>
            </w:r>
            <w:r w:rsidR="00244595">
              <w:t xml:space="preserve">characterize </w:t>
            </w:r>
            <w:r w:rsidRPr="0022291A">
              <w:t>interactions among market actors</w:t>
            </w:r>
            <w:r w:rsidR="00A24F12">
              <w:t xml:space="preserve"> guided by disparate and usually conflicted logics </w:t>
            </w:r>
            <w:r w:rsidRPr="0022291A">
              <w:t>making the process nonlinear, path dependent, and unpredictable</w:t>
            </w:r>
            <w:r>
              <w:t>.</w:t>
            </w:r>
          </w:p>
        </w:tc>
      </w:tr>
    </w:tbl>
    <w:p w:rsidR="00481B4A" w:rsidRDefault="00481B4A" w:rsidP="00B578FE">
      <w:pPr>
        <w:rPr>
          <w:rFonts w:eastAsia="SimSun"/>
          <w:lang w:eastAsia="zh-CN"/>
        </w:rPr>
        <w:sectPr w:rsidR="00481B4A" w:rsidSect="00B578FE">
          <w:headerReference w:type="default" r:id="rId26"/>
          <w:footerReference w:type="even" r:id="rId27"/>
          <w:footerReference w:type="default" r:id="rId28"/>
          <w:pgSz w:w="16834" w:h="11909" w:orient="landscape" w:code="9"/>
          <w:pgMar w:top="720" w:right="720" w:bottom="720" w:left="720" w:header="720" w:footer="720" w:gutter="720"/>
          <w:cols w:space="720"/>
          <w:docGrid w:linePitch="360"/>
        </w:sectPr>
      </w:pPr>
    </w:p>
    <w:p w:rsidR="00F94433" w:rsidRDefault="00843E0C" w:rsidP="00437B10">
      <w:pPr>
        <w:pStyle w:val="ListParagraph"/>
        <w:ind w:left="0"/>
        <w:jc w:val="center"/>
        <w:rPr>
          <w:b/>
        </w:rPr>
      </w:pPr>
      <w:r w:rsidRPr="00670849">
        <w:rPr>
          <w:b/>
        </w:rPr>
        <w:lastRenderedPageBreak/>
        <w:t xml:space="preserve">Table 3: </w:t>
      </w:r>
      <w:r w:rsidR="00437B10">
        <w:rPr>
          <w:b/>
        </w:rPr>
        <w:t xml:space="preserve">Propositions for a </w:t>
      </w:r>
      <w:r w:rsidRPr="00670849">
        <w:rPr>
          <w:b/>
        </w:rPr>
        <w:t xml:space="preserve">Research Agenda </w:t>
      </w:r>
      <w:r w:rsidR="00437B10">
        <w:rPr>
          <w:b/>
        </w:rPr>
        <w:t>of an</w:t>
      </w:r>
      <w:r w:rsidRPr="00670849">
        <w:rPr>
          <w:b/>
        </w:rPr>
        <w:t xml:space="preserve"> Open System</w:t>
      </w:r>
      <w:r w:rsidR="00437B10">
        <w:rPr>
          <w:b/>
        </w:rPr>
        <w:t xml:space="preserve">s Study of </w:t>
      </w:r>
      <w:r w:rsidRPr="00670849">
        <w:rPr>
          <w:b/>
        </w:rPr>
        <w:t>Pharmaceutical Marketing</w:t>
      </w:r>
    </w:p>
    <w:tbl>
      <w:tblPr>
        <w:tblStyle w:val="TableGrid"/>
        <w:tblpPr w:leftFromText="180" w:rightFromText="180" w:vertAnchor="page" w:horzAnchor="margin" w:tblpX="288" w:tblpY="1493"/>
        <w:tblW w:w="0" w:type="auto"/>
        <w:tblLook w:val="04A0" w:firstRow="1" w:lastRow="0" w:firstColumn="1" w:lastColumn="0" w:noHBand="0" w:noVBand="1"/>
      </w:tblPr>
      <w:tblGrid>
        <w:gridCol w:w="10728"/>
      </w:tblGrid>
      <w:tr w:rsidR="00843E0C" w:rsidRPr="00843E0C" w:rsidTr="00437B10">
        <w:tc>
          <w:tcPr>
            <w:tcW w:w="10728" w:type="dxa"/>
          </w:tcPr>
          <w:p w:rsidR="00843E0C" w:rsidRPr="00437B10" w:rsidRDefault="0022137C" w:rsidP="00843E0C">
            <w:pPr>
              <w:pStyle w:val="ListParagraph"/>
              <w:ind w:left="0"/>
              <w:rPr>
                <w:i/>
              </w:rPr>
            </w:pPr>
            <w:r w:rsidRPr="00437B10">
              <w:rPr>
                <w:i/>
              </w:rPr>
              <w:t>Foundational Elements</w:t>
            </w:r>
          </w:p>
          <w:p w:rsidR="00843E0C" w:rsidRPr="00437B10" w:rsidRDefault="00843E0C" w:rsidP="00843E0C">
            <w:pPr>
              <w:pStyle w:val="ListParagraph"/>
              <w:ind w:left="0"/>
            </w:pPr>
          </w:p>
          <w:p w:rsidR="00843E0C" w:rsidRPr="00437B10" w:rsidRDefault="0022137C" w:rsidP="00843E0C">
            <w:pPr>
              <w:pStyle w:val="ListParagraph"/>
              <w:numPr>
                <w:ilvl w:val="0"/>
                <w:numId w:val="40"/>
              </w:numPr>
            </w:pPr>
            <w:r w:rsidRPr="00437B10">
              <w:t>Market exchanges between value chain partners with disparate organizing logics are prone to conflict</w:t>
            </w:r>
            <w:r w:rsidR="00467DEE">
              <w:t xml:space="preserve"> when </w:t>
            </w:r>
            <w:r w:rsidRPr="00437B10">
              <w:t>fiduciary responsibility is central to one</w:t>
            </w:r>
            <w:r w:rsidR="00467DEE">
              <w:t>, but not both,</w:t>
            </w:r>
            <w:r w:rsidRPr="00437B10">
              <w:t xml:space="preserve"> of those logics.</w:t>
            </w:r>
          </w:p>
          <w:p w:rsidR="00843E0C" w:rsidRPr="00437B10" w:rsidRDefault="0022137C" w:rsidP="00843E0C">
            <w:pPr>
              <w:pStyle w:val="ListParagraph"/>
              <w:numPr>
                <w:ilvl w:val="0"/>
                <w:numId w:val="40"/>
              </w:numPr>
            </w:pPr>
            <w:r w:rsidRPr="00437B10">
              <w:t xml:space="preserve">Organizational legitimacy is a key mediator for the influence of </w:t>
            </w:r>
            <w:r w:rsidR="00467DEE">
              <w:t>marketing</w:t>
            </w:r>
            <w:r w:rsidRPr="00437B10">
              <w:t xml:space="preserve"> strategy on long term (a) sustainability, and (b) profitability. </w:t>
            </w:r>
          </w:p>
          <w:p w:rsidR="00843E0C" w:rsidRPr="00437B10" w:rsidRDefault="00467DEE" w:rsidP="00843E0C">
            <w:pPr>
              <w:pStyle w:val="ListParagraph"/>
              <w:numPr>
                <w:ilvl w:val="0"/>
                <w:numId w:val="40"/>
              </w:numPr>
            </w:pPr>
            <w:r>
              <w:t xml:space="preserve">Marketing </w:t>
            </w:r>
            <w:r w:rsidR="0022137C" w:rsidRPr="00437B10">
              <w:t xml:space="preserve">strategies centered exclusively on </w:t>
            </w:r>
            <w:r>
              <w:t>a firm’s</w:t>
            </w:r>
            <w:r w:rsidR="0022137C" w:rsidRPr="00437B10">
              <w:t xml:space="preserve"> own internal logics will (a) enhance </w:t>
            </w:r>
            <w:r>
              <w:t>value chain c</w:t>
            </w:r>
            <w:r w:rsidR="0022137C" w:rsidRPr="00437B10">
              <w:t>onflict and (b) lower organizational legitimacy.</w:t>
            </w:r>
          </w:p>
          <w:p w:rsidR="00843E0C" w:rsidRPr="00437B10" w:rsidRDefault="0022137C" w:rsidP="00843E0C">
            <w:pPr>
              <w:pStyle w:val="ListParagraph"/>
              <w:numPr>
                <w:ilvl w:val="0"/>
                <w:numId w:val="40"/>
              </w:numPr>
            </w:pPr>
            <w:r w:rsidRPr="00437B10">
              <w:t>An organization is likely to be perceived as more legitimate, the more it is perceived by its value chain partners and customers to (a) deliver something that adds value to exchange relationships in the system (pragmatic legitimacy), (b) be a trustworthy partner that can be relied upon to protect the best interests of its downstream customers and curb opportunism (moral legitimacy), and (c) engage in activities that are meaningful and desirable for society (cognitive legitimacy).</w:t>
            </w:r>
          </w:p>
          <w:p w:rsidR="00843E0C" w:rsidRPr="00437B10" w:rsidRDefault="0022137C" w:rsidP="00843E0C">
            <w:pPr>
              <w:pStyle w:val="ListParagraph"/>
              <w:numPr>
                <w:ilvl w:val="0"/>
                <w:numId w:val="40"/>
              </w:numPr>
            </w:pPr>
            <w:r w:rsidRPr="00437B10">
              <w:t xml:space="preserve">In the long term, </w:t>
            </w:r>
            <w:r w:rsidR="00467DEE">
              <w:t>marketing</w:t>
            </w:r>
            <w:r w:rsidRPr="00437B10">
              <w:t xml:space="preserve"> strategies centered exclusively on pragmatic legitimacy will undermine (a) moral legitimacy, and (b) cognitive legitimacy.</w:t>
            </w:r>
          </w:p>
          <w:p w:rsidR="00843E0C" w:rsidRPr="00437B10" w:rsidRDefault="0022137C" w:rsidP="00843E0C">
            <w:pPr>
              <w:pStyle w:val="ListParagraph"/>
              <w:numPr>
                <w:ilvl w:val="0"/>
                <w:numId w:val="40"/>
              </w:numPr>
            </w:pPr>
            <w:r w:rsidRPr="00437B10">
              <w:t xml:space="preserve">The higher the organization’s legitimacy, the greater its effectiveness in (a) securing scarce societal resources, (b) long term sustainability, and (c) overcoming market threats (e.g., due to unfavorable information, shocks, crisis). </w:t>
            </w:r>
          </w:p>
          <w:p w:rsidR="00843E0C" w:rsidRPr="00437B10" w:rsidRDefault="0022137C" w:rsidP="00843E0C">
            <w:pPr>
              <w:pStyle w:val="StyleLinespacingDouble"/>
              <w:numPr>
                <w:ilvl w:val="0"/>
                <w:numId w:val="40"/>
              </w:numPr>
              <w:spacing w:line="240" w:lineRule="auto"/>
            </w:pPr>
            <w:r w:rsidRPr="00437B10">
              <w:t xml:space="preserve">Greater the persistence of unresolved conflict among value chain partners, lower the organizational legitimacy for one or both partners.  </w:t>
            </w:r>
          </w:p>
          <w:p w:rsidR="00DB1B96" w:rsidRDefault="00DB1B96">
            <w:pPr>
              <w:pStyle w:val="StyleLinespacingDouble"/>
              <w:spacing w:line="240" w:lineRule="auto"/>
              <w:ind w:left="1080" w:firstLine="0"/>
            </w:pPr>
          </w:p>
        </w:tc>
      </w:tr>
      <w:tr w:rsidR="00843E0C" w:rsidRPr="00843E0C" w:rsidTr="00437B10">
        <w:tc>
          <w:tcPr>
            <w:tcW w:w="10728" w:type="dxa"/>
          </w:tcPr>
          <w:p w:rsidR="00DB1B96" w:rsidRDefault="0022137C">
            <w:pPr>
              <w:pStyle w:val="StyleLinespacingDouble"/>
              <w:spacing w:line="240" w:lineRule="auto"/>
              <w:ind w:firstLine="0"/>
              <w:rPr>
                <w:i/>
              </w:rPr>
            </w:pPr>
            <w:r w:rsidRPr="00437B10">
              <w:rPr>
                <w:i/>
              </w:rPr>
              <w:t>Premises</w:t>
            </w:r>
          </w:p>
          <w:p w:rsidR="00843E0C" w:rsidRPr="00437B10" w:rsidRDefault="00843E0C" w:rsidP="00843E0C">
            <w:pPr>
              <w:pStyle w:val="StyleLinespacingDouble"/>
              <w:spacing w:line="240" w:lineRule="auto"/>
              <w:ind w:left="720" w:hanging="720"/>
              <w:rPr>
                <w:i/>
              </w:rPr>
            </w:pPr>
          </w:p>
          <w:p w:rsidR="00843E0C" w:rsidRPr="00437B10" w:rsidRDefault="0022137C" w:rsidP="00843E0C">
            <w:pPr>
              <w:pStyle w:val="StyleLinespacingDouble"/>
              <w:numPr>
                <w:ilvl w:val="0"/>
                <w:numId w:val="40"/>
              </w:numPr>
              <w:spacing w:line="240" w:lineRule="auto"/>
            </w:pPr>
            <w:r w:rsidRPr="00437B10">
              <w:t xml:space="preserve">Greater the </w:t>
            </w:r>
            <w:r w:rsidR="00CF684B">
              <w:t xml:space="preserve">marketing </w:t>
            </w:r>
            <w:r w:rsidRPr="00437B10">
              <w:t>incentiv</w:t>
            </w:r>
            <w:r w:rsidR="00CF684B">
              <w:t xml:space="preserve">es to </w:t>
            </w:r>
            <w:r w:rsidRPr="00437B10">
              <w:t xml:space="preserve">physicians with the objective of </w:t>
            </w:r>
            <w:r w:rsidR="00CF684B">
              <w:t>influencing</w:t>
            </w:r>
            <w:r w:rsidRPr="00437B10">
              <w:t xml:space="preserve"> their prescription writing (a) higher the system conflict and (b) lower the organizational legitimacy. </w:t>
            </w:r>
          </w:p>
          <w:p w:rsidR="00843E0C" w:rsidRPr="00437B10" w:rsidRDefault="0022137C" w:rsidP="00843E0C">
            <w:pPr>
              <w:pStyle w:val="StyleLinespacingDouble"/>
              <w:numPr>
                <w:ilvl w:val="0"/>
                <w:numId w:val="40"/>
              </w:numPr>
              <w:spacing w:line="240" w:lineRule="auto"/>
            </w:pPr>
            <w:r w:rsidRPr="00437B10">
              <w:t xml:space="preserve">Greater the effectiveness and efficiency of marketing strategies rooted in consequential logic, (a) higher the system conflict and (b) lower the organizational legitimacy. </w:t>
            </w:r>
          </w:p>
          <w:p w:rsidR="00843E0C" w:rsidRDefault="0022137C" w:rsidP="00843E0C">
            <w:pPr>
              <w:pStyle w:val="StyleLinespacingDouble"/>
              <w:numPr>
                <w:ilvl w:val="0"/>
                <w:numId w:val="40"/>
              </w:numPr>
              <w:spacing w:line="240" w:lineRule="auto"/>
            </w:pPr>
            <w:r w:rsidRPr="00437B10">
              <w:t>Greater the focus of value chain partners on the stability of their own internal dominant logic, greater the intensity of system conflict.</w:t>
            </w:r>
          </w:p>
          <w:p w:rsidR="00DB1B96" w:rsidRDefault="00DB1B96">
            <w:pPr>
              <w:pStyle w:val="StyleLinespacingDouble"/>
              <w:spacing w:line="240" w:lineRule="auto"/>
              <w:ind w:left="1080" w:firstLine="0"/>
            </w:pPr>
          </w:p>
        </w:tc>
      </w:tr>
      <w:tr w:rsidR="00843E0C" w:rsidRPr="00843E0C" w:rsidTr="00437B10">
        <w:tc>
          <w:tcPr>
            <w:tcW w:w="10728" w:type="dxa"/>
          </w:tcPr>
          <w:p w:rsidR="00DB1B96" w:rsidRDefault="0022137C">
            <w:pPr>
              <w:rPr>
                <w:i/>
              </w:rPr>
            </w:pPr>
            <w:r w:rsidRPr="00437B10">
              <w:rPr>
                <w:i/>
              </w:rPr>
              <w:t>Key Questions and Mechanisms</w:t>
            </w:r>
          </w:p>
          <w:p w:rsidR="00843E0C" w:rsidRPr="00437B10" w:rsidRDefault="00843E0C" w:rsidP="00843E0C">
            <w:pPr>
              <w:pStyle w:val="ListParagraph"/>
              <w:ind w:left="0"/>
            </w:pPr>
          </w:p>
          <w:p w:rsidR="00843E0C" w:rsidRPr="00437B10" w:rsidRDefault="00CF684B" w:rsidP="00843E0C">
            <w:pPr>
              <w:pStyle w:val="ListParagraph"/>
              <w:numPr>
                <w:ilvl w:val="0"/>
                <w:numId w:val="40"/>
              </w:numPr>
            </w:pPr>
            <w:r>
              <w:t xml:space="preserve">The more a value chain is characterized by persistent </w:t>
            </w:r>
            <w:r w:rsidR="0022137C" w:rsidRPr="00437B10">
              <w:t>system conflict</w:t>
            </w:r>
            <w:r>
              <w:t>, the more likely are r</w:t>
            </w:r>
            <w:r w:rsidR="0022137C" w:rsidRPr="00437B10">
              <w:t xml:space="preserve">etaliatory actions by value chain partner(s) to safeguard their own legitimacy.  </w:t>
            </w:r>
          </w:p>
          <w:p w:rsidR="00843E0C" w:rsidRPr="00437B10" w:rsidRDefault="0022137C" w:rsidP="00843E0C">
            <w:pPr>
              <w:pStyle w:val="ListParagraph"/>
              <w:numPr>
                <w:ilvl w:val="0"/>
                <w:numId w:val="40"/>
              </w:numPr>
            </w:pPr>
            <w:r w:rsidRPr="00437B10">
              <w:t xml:space="preserve">Managerial actions </w:t>
            </w:r>
            <w:r w:rsidR="00CF684B">
              <w:t xml:space="preserve">with </w:t>
            </w:r>
            <w:r w:rsidRPr="00437B10">
              <w:t xml:space="preserve">a strong (weak) focus on consequential logic will result in increasing (decreasing) </w:t>
            </w:r>
            <w:r w:rsidR="00CF684B">
              <w:t>u</w:t>
            </w:r>
            <w:r w:rsidRPr="00437B10">
              <w:t xml:space="preserve">nilateral actions </w:t>
            </w:r>
            <w:r w:rsidR="00CF684B">
              <w:t xml:space="preserve">by value chain partners to </w:t>
            </w:r>
            <w:r w:rsidR="002944EA">
              <w:t xml:space="preserve">safeguard their legitimacy by </w:t>
            </w:r>
            <w:r w:rsidRPr="00437B10">
              <w:t xml:space="preserve">(a) erecting firewalls and (b) </w:t>
            </w:r>
            <w:r w:rsidR="002944EA">
              <w:t>maintaining arms length relationships.</w:t>
            </w:r>
            <w:r w:rsidRPr="00437B10">
              <w:t>.</w:t>
            </w:r>
          </w:p>
          <w:p w:rsidR="00843E0C" w:rsidRPr="00437B10" w:rsidRDefault="0022137C" w:rsidP="00843E0C">
            <w:pPr>
              <w:pStyle w:val="ListParagraph"/>
              <w:numPr>
                <w:ilvl w:val="0"/>
                <w:numId w:val="40"/>
              </w:numPr>
            </w:pPr>
            <w:r w:rsidRPr="00437B10">
              <w:t xml:space="preserve">Collaborative actions among value chain partners are likely to be more effective, the more they are organized as open, bottom-up, self organizing systems (rather than structured, top-down, regulated systems). </w:t>
            </w:r>
          </w:p>
          <w:p w:rsidR="00843E0C" w:rsidRPr="00437B10" w:rsidRDefault="0022137C" w:rsidP="00843E0C">
            <w:pPr>
              <w:pStyle w:val="ListParagraph"/>
              <w:numPr>
                <w:ilvl w:val="0"/>
                <w:numId w:val="40"/>
              </w:numPr>
            </w:pPr>
            <w:r w:rsidRPr="00437B10">
              <w:t>Over time, value chains will have an increasing tendency toward mechanisms that provide efficiency gains and reduce complexity (progressive mechanization).</w:t>
            </w:r>
          </w:p>
          <w:p w:rsidR="00843E0C" w:rsidRPr="00437B10" w:rsidRDefault="0022137C" w:rsidP="00843E0C">
            <w:pPr>
              <w:pStyle w:val="ListParagraph"/>
              <w:numPr>
                <w:ilvl w:val="0"/>
                <w:numId w:val="40"/>
              </w:numPr>
            </w:pPr>
            <w:r w:rsidRPr="00437B10">
              <w:t xml:space="preserve">Greater the system’s success in progressive mechanization, lower its capacity to effectively resolve emergent system conflicts. </w:t>
            </w:r>
          </w:p>
          <w:p w:rsidR="00843E0C" w:rsidRPr="00437B10" w:rsidRDefault="00843E0C" w:rsidP="00843E0C">
            <w:pPr>
              <w:pStyle w:val="StyleLinespacingDouble"/>
              <w:spacing w:line="240" w:lineRule="auto"/>
              <w:ind w:left="1080" w:firstLine="0"/>
            </w:pPr>
          </w:p>
        </w:tc>
      </w:tr>
    </w:tbl>
    <w:p w:rsidR="00F94433" w:rsidRDefault="00F94433" w:rsidP="00437B10">
      <w:pPr>
        <w:pStyle w:val="ListParagraph"/>
        <w:ind w:left="1440"/>
        <w:rPr>
          <w:b/>
        </w:rPr>
      </w:pPr>
    </w:p>
    <w:p w:rsidR="00843E0C" w:rsidRDefault="00843E0C" w:rsidP="00843E0C">
      <w:pPr>
        <w:jc w:val="center"/>
        <w:rPr>
          <w:b/>
          <w:kern w:val="0"/>
        </w:rPr>
      </w:pPr>
    </w:p>
    <w:p w:rsidR="00843E0C" w:rsidRDefault="00843E0C" w:rsidP="0022291A">
      <w:pPr>
        <w:jc w:val="center"/>
        <w:outlineLvl w:val="0"/>
        <w:rPr>
          <w:rFonts w:eastAsia="SimSun"/>
          <w:b/>
          <w:lang w:eastAsia="zh-CN"/>
        </w:rPr>
        <w:sectPr w:rsidR="00843E0C" w:rsidSect="00437B10">
          <w:pgSz w:w="11909" w:h="16834" w:code="9"/>
          <w:pgMar w:top="432" w:right="432" w:bottom="432" w:left="432" w:header="720" w:footer="720" w:gutter="0"/>
          <w:cols w:space="720"/>
          <w:docGrid w:linePitch="360"/>
        </w:sectPr>
      </w:pPr>
    </w:p>
    <w:p w:rsidR="002E79CD" w:rsidRDefault="002E79CD" w:rsidP="0022291A">
      <w:pPr>
        <w:jc w:val="center"/>
        <w:outlineLvl w:val="0"/>
        <w:rPr>
          <w:rFonts w:eastAsia="SimSun"/>
          <w:b/>
          <w:lang w:eastAsia="zh-CN"/>
        </w:rPr>
      </w:pPr>
      <w:r w:rsidRPr="002E79CD">
        <w:rPr>
          <w:rFonts w:eastAsia="SimSun"/>
          <w:b/>
          <w:lang w:eastAsia="zh-CN"/>
        </w:rPr>
        <w:lastRenderedPageBreak/>
        <w:t>Figure 1</w:t>
      </w:r>
    </w:p>
    <w:p w:rsidR="002E79CD" w:rsidRDefault="002E79CD" w:rsidP="002E79CD">
      <w:pPr>
        <w:jc w:val="center"/>
        <w:rPr>
          <w:rFonts w:eastAsia="SimSun"/>
          <w:lang w:eastAsia="zh-CN"/>
        </w:rPr>
      </w:pPr>
      <w:r w:rsidRPr="002E79CD">
        <w:rPr>
          <w:rFonts w:eastAsia="SimSun"/>
          <w:lang w:eastAsia="zh-CN"/>
        </w:rPr>
        <w:t xml:space="preserve">Strategic </w:t>
      </w:r>
      <w:r w:rsidR="000305A2">
        <w:rPr>
          <w:rFonts w:eastAsia="SimSun"/>
          <w:lang w:eastAsia="zh-CN"/>
        </w:rPr>
        <w:t>Interdependencies in Pharmaceutical Promotion Practices</w:t>
      </w:r>
    </w:p>
    <w:p w:rsidR="009D5E6F" w:rsidRDefault="000827B6">
      <w:pPr>
        <w:jc w:val="center"/>
        <w:rPr>
          <w:rFonts w:ascii="Times-Roman" w:hAnsi="Times-Roman" w:cs="Times-Roman"/>
          <w:color w:val="231F20"/>
        </w:rPr>
      </w:pPr>
      <w:r w:rsidRPr="000827B6">
        <w:rPr>
          <w:noProof/>
        </w:rPr>
        <w:drawing>
          <wp:inline distT="0" distB="0" distL="0" distR="0">
            <wp:extent cx="9114417" cy="560757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9118904" cy="5610333"/>
                    </a:xfrm>
                    <a:prstGeom prst="rect">
                      <a:avLst/>
                    </a:prstGeom>
                    <a:noFill/>
                    <a:ln w="9525">
                      <a:noFill/>
                      <a:miter lim="800000"/>
                      <a:headEnd/>
                      <a:tailEnd/>
                    </a:ln>
                  </pic:spPr>
                </pic:pic>
              </a:graphicData>
            </a:graphic>
          </wp:inline>
        </w:drawing>
      </w:r>
    </w:p>
    <w:sectPr w:rsidR="009D5E6F" w:rsidSect="00437B10">
      <w:pgSz w:w="16834" w:h="11909" w:orient="landscape" w:code="9"/>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0F" w:rsidRDefault="002B6C0F">
      <w:r>
        <w:separator/>
      </w:r>
    </w:p>
  </w:endnote>
  <w:endnote w:type="continuationSeparator" w:id="0">
    <w:p w:rsidR="002B6C0F" w:rsidRDefault="002B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imes-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Times-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4A" w:rsidRDefault="0064074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A7" w:rsidRDefault="00D55CA7">
    <w:pPr>
      <w:pStyle w:val="Footer"/>
      <w:jc w:val="right"/>
    </w:pPr>
  </w:p>
  <w:p w:rsidR="00D55CA7" w:rsidRDefault="00D55C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39838"/>
      <w:docPartObj>
        <w:docPartGallery w:val="Page Numbers (Bottom of Page)"/>
        <w:docPartUnique/>
      </w:docPartObj>
    </w:sdtPr>
    <w:sdtEndPr>
      <w:rPr>
        <w:noProof/>
      </w:rPr>
    </w:sdtEndPr>
    <w:sdtContent>
      <w:p w:rsidR="0064086B" w:rsidRDefault="00DB1B96">
        <w:pPr>
          <w:pStyle w:val="Footer"/>
          <w:jc w:val="center"/>
        </w:pPr>
        <w:r>
          <w:fldChar w:fldCharType="begin"/>
        </w:r>
        <w:r w:rsidR="0064086B">
          <w:instrText xml:space="preserve"> PAGE   \* MERGEFORMAT </w:instrText>
        </w:r>
        <w:r>
          <w:fldChar w:fldCharType="separate"/>
        </w:r>
        <w:r w:rsidR="00973929">
          <w:rPr>
            <w:noProof/>
          </w:rPr>
          <w:t>34</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2476"/>
      <w:docPartObj>
        <w:docPartGallery w:val="Page Numbers (Bottom of Page)"/>
        <w:docPartUnique/>
      </w:docPartObj>
    </w:sdtPr>
    <w:sdtEndPr/>
    <w:sdtContent>
      <w:p w:rsidR="004C2734" w:rsidRDefault="00DB1B96">
        <w:pPr>
          <w:pStyle w:val="Footer"/>
          <w:jc w:val="right"/>
        </w:pPr>
        <w:r>
          <w:fldChar w:fldCharType="begin"/>
        </w:r>
        <w:r w:rsidR="004C2734">
          <w:instrText xml:space="preserve"> PAGE   \* MERGEFORMAT </w:instrText>
        </w:r>
        <w:r>
          <w:fldChar w:fldCharType="separate"/>
        </w:r>
        <w:r w:rsidR="004C2734">
          <w:rPr>
            <w:noProof/>
          </w:rPr>
          <w:t>1</w:t>
        </w:r>
        <w:r>
          <w:fldChar w:fldCharType="end"/>
        </w:r>
      </w:p>
    </w:sdtContent>
  </w:sdt>
  <w:p w:rsidR="00D55CA7" w:rsidRDefault="00D55CA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06" w:rsidRDefault="00805B06" w:rsidP="00EB5F23">
    <w:pPr>
      <w:pStyle w:val="Footer"/>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06" w:rsidRDefault="00805B06">
    <w:pPr>
      <w:pStyle w:val="Footer"/>
      <w:jc w:val="center"/>
    </w:pPr>
  </w:p>
  <w:p w:rsidR="00805B06" w:rsidRDefault="00805B06" w:rsidP="00761292">
    <w:pPr>
      <w:pStyle w:val="Footer"/>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06" w:rsidRDefault="00DB1B96" w:rsidP="00EF64F7">
    <w:pPr>
      <w:pStyle w:val="Footer"/>
      <w:framePr w:wrap="auto" w:vAnchor="text" w:hAnchor="margin" w:xAlign="right" w:y="1"/>
      <w:rPr>
        <w:rStyle w:val="PageNumber"/>
      </w:rPr>
    </w:pPr>
    <w:r>
      <w:rPr>
        <w:rStyle w:val="PageNumber"/>
      </w:rPr>
      <w:fldChar w:fldCharType="begin"/>
    </w:r>
    <w:r w:rsidR="00805B06">
      <w:rPr>
        <w:rStyle w:val="PageNumber"/>
      </w:rPr>
      <w:instrText xml:space="preserve">PAGE  </w:instrText>
    </w:r>
    <w:r>
      <w:rPr>
        <w:rStyle w:val="PageNumber"/>
      </w:rPr>
      <w:fldChar w:fldCharType="end"/>
    </w:r>
  </w:p>
  <w:p w:rsidR="00805B06" w:rsidRDefault="00805B06" w:rsidP="00EF64F7">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06" w:rsidRDefault="00805B06" w:rsidP="00EF64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0F" w:rsidRDefault="002B6C0F">
      <w:r>
        <w:separator/>
      </w:r>
    </w:p>
  </w:footnote>
  <w:footnote w:type="continuationSeparator" w:id="0">
    <w:p w:rsidR="002B6C0F" w:rsidRDefault="002B6C0F">
      <w:r>
        <w:continuationSeparator/>
      </w:r>
    </w:p>
  </w:footnote>
  <w:footnote w:id="1">
    <w:p w:rsidR="00805B06" w:rsidRDefault="00805B06" w:rsidP="000B4B5C">
      <w:pPr>
        <w:pStyle w:val="FootnoteText"/>
      </w:pPr>
      <w:r>
        <w:rPr>
          <w:rStyle w:val="FootnoteReference"/>
        </w:rPr>
        <w:footnoteRef/>
      </w:r>
      <w:r>
        <w:t xml:space="preserve"> </w:t>
      </w:r>
      <w:r w:rsidRPr="006754C1">
        <w:t xml:space="preserve">The promotion spend by the </w:t>
      </w:r>
      <w:r w:rsidRPr="005140D4">
        <w:t>pharmaceutical industry in the United States is</w:t>
      </w:r>
      <w:r w:rsidRPr="006754C1">
        <w:t xml:space="preserve"> </w:t>
      </w:r>
      <w:r w:rsidRPr="005140D4">
        <w:t>estimated to be between $27.7 and 57.5 billion (Gag</w:t>
      </w:r>
      <w:r>
        <w:t>n</w:t>
      </w:r>
      <w:r w:rsidRPr="005140D4">
        <w:t>on and Lexchin 2008)</w:t>
      </w:r>
      <w:r w:rsidRPr="006754C1">
        <w:t>.</w:t>
      </w:r>
      <w:r>
        <w:t xml:space="preserve">  Pharmaceutical promotion practices include detailing (where salespeople visit with physicians to update them on recent therapeutic advances and encourage them to write prescriptions that favor the firm’s products), sampling (where samples of company’s drugs are provided to encourage trial) and physician meetings (where educational meetings are convened to show efficacy evidence of company’s drugs) among other related practices.</w:t>
      </w:r>
    </w:p>
  </w:footnote>
  <w:footnote w:id="2">
    <w:p w:rsidR="00805B06" w:rsidRDefault="00805B06" w:rsidP="009C1A4A">
      <w:pPr>
        <w:pStyle w:val="FootnoteText"/>
        <w:spacing w:line="200" w:lineRule="exact"/>
      </w:pPr>
      <w:r>
        <w:rPr>
          <w:rStyle w:val="FootnoteReference"/>
        </w:rPr>
        <w:footnoteRef/>
      </w:r>
      <w:r>
        <w:t xml:space="preserve"> The </w:t>
      </w:r>
      <w:r w:rsidRPr="00752DDB">
        <w:rPr>
          <w:i/>
          <w:iCs/>
        </w:rPr>
        <w:t>Harris Interactive</w:t>
      </w:r>
      <w:r>
        <w:t xml:space="preserve"> survey is a longitudinal study of public trust across a range of industries and asks the following question, “Do you think each of the following does a good or bad job of serving its customers?” The results reported here are from a report in the </w:t>
      </w:r>
      <w:r w:rsidRPr="00752DDB">
        <w:rPr>
          <w:i/>
          <w:iCs/>
        </w:rPr>
        <w:t>Economist</w:t>
      </w:r>
      <w:r>
        <w:t xml:space="preserve"> titled, “Prescription for Change,” published </w:t>
      </w:r>
      <w:smartTag w:uri="urn:schemas-microsoft-com:office:smarttags" w:element="date">
        <w:smartTagPr>
          <w:attr w:name="Month" w:val="6"/>
          <w:attr w:name="Day" w:val="16"/>
          <w:attr w:name="Year" w:val="2005"/>
        </w:smartTagPr>
        <w:r>
          <w:t>June 16, 2005</w:t>
        </w:r>
      </w:smartTag>
      <w:r>
        <w:t>.</w:t>
      </w:r>
    </w:p>
  </w:footnote>
  <w:footnote w:id="3">
    <w:p w:rsidR="00805B06" w:rsidRDefault="00805B06" w:rsidP="009C1A4A">
      <w:pPr>
        <w:pStyle w:val="FootnoteText"/>
      </w:pPr>
      <w:r>
        <w:rPr>
          <w:rStyle w:val="FootnoteReference"/>
        </w:rPr>
        <w:footnoteRef/>
      </w:r>
      <w:r>
        <w:t xml:space="preserve"> To some extent, this neglect is indicative of lack of access to data on pharmaceutical strategy making, much of which is proprietary.  By contrast, data on promotion spend has been made relatively accessible by research agencies such as IMS, Wolters Kluver and Verispan.</w:t>
      </w:r>
    </w:p>
  </w:footnote>
  <w:footnote w:id="4">
    <w:p w:rsidR="00805B06" w:rsidRDefault="00805B06" w:rsidP="00F23715">
      <w:pPr>
        <w:pStyle w:val="FootnoteText"/>
      </w:pPr>
      <w:r>
        <w:rPr>
          <w:rStyle w:val="FootnoteReference"/>
        </w:rPr>
        <w:footnoteRef/>
      </w:r>
      <w:r>
        <w:t xml:space="preserve"> Referred exhibits pertain to materials included in the court documents related to </w:t>
      </w:r>
      <w:r w:rsidRPr="00B07E2B">
        <w:rPr>
          <w:i/>
        </w:rPr>
        <w:t>United States ex rel. David Franklin vs. Parke-Davis, 147 F. Supp.2d 39</w:t>
      </w:r>
      <w:r>
        <w:t xml:space="preserve"> and available at </w:t>
      </w:r>
      <w:hyperlink r:id="rId1" w:history="1">
        <w:r w:rsidRPr="0056549C">
          <w:rPr>
            <w:rStyle w:val="Hyperlink"/>
          </w:rPr>
          <w:t>http://dida.library.ucsf.edu</w:t>
        </w:r>
      </w:hyperlink>
      <w:r>
        <w:t xml:space="preserve">.  </w:t>
      </w:r>
    </w:p>
    <w:p w:rsidR="00805B06" w:rsidRDefault="00805B06" w:rsidP="00F23715">
      <w:pPr>
        <w:pStyle w:val="FootnoteText"/>
      </w:pPr>
    </w:p>
  </w:footnote>
  <w:footnote w:id="5">
    <w:p w:rsidR="00805B06" w:rsidRDefault="00805B06" w:rsidP="00526836">
      <w:pPr>
        <w:pStyle w:val="FootnoteText"/>
      </w:pPr>
      <w:r>
        <w:rPr>
          <w:rStyle w:val="FootnoteReference"/>
        </w:rPr>
        <w:footnoteRef/>
      </w:r>
      <w:r>
        <w:t xml:space="preserve"> Deephouse and Carter (2005) note that legitimacy claims are distinct from reputational claims.  Organizational reputation is a qualitative assessment based on social comparison among a set of, possibly legitimate, firms.  However, legitimacy is about social acceptance based on conforming to social norms.</w:t>
      </w:r>
    </w:p>
  </w:footnote>
  <w:footnote w:id="6">
    <w:p w:rsidR="00805B06" w:rsidRDefault="00805B06" w:rsidP="0019535C">
      <w:pPr>
        <w:pStyle w:val="FootnoteText"/>
      </w:pPr>
      <w:r>
        <w:rPr>
          <w:rStyle w:val="FootnoteReference"/>
        </w:rPr>
        <w:footnoteRef/>
      </w:r>
      <w:r>
        <w:t xml:space="preserve"> The top 10 pharmaceuticals based on revenues (</w:t>
      </w:r>
      <w:hyperlink r:id="rId2" w:history="1">
        <w:r w:rsidRPr="007B05FB">
          <w:rPr>
            <w:rStyle w:val="Hyperlink"/>
          </w:rPr>
          <w:t>http://www.contractpharma.com/articles/2007/07/2007-top-20-pharmaceutical-companies-report</w:t>
        </w:r>
      </w:hyperlink>
      <w:r>
        <w:t>) are: Pfizer, GlaxoSmithKline, Sanofi-Aventis, AstraZeneca, Novartis, Merck, Johnson &amp; Johnson, Roche, Wyeth, and Eli Lilly and Co. The companies that were taken to trial and successfully convicted are Pfizer, AstraZeneca, Merck, Johnson &amp; Johnson, Wyeth, and Eli Lilly and 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04" w:rsidRDefault="00475BF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06" w:rsidRDefault="00805B06" w:rsidP="00EB5F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4090"/>
      <w:docPartObj>
        <w:docPartGallery w:val="Page Numbers (Top of Page)"/>
        <w:docPartUnique/>
      </w:docPartObj>
    </w:sdtPr>
    <w:sdtEndPr/>
    <w:sdtContent>
      <w:p w:rsidR="00805B06" w:rsidRDefault="002B6C0F">
        <w:pPr>
          <w:pStyle w:val="Header"/>
          <w:jc w:val="right"/>
        </w:pPr>
      </w:p>
    </w:sdtContent>
  </w:sdt>
  <w:p w:rsidR="00805B06" w:rsidRDefault="00805B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06" w:rsidRDefault="00805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EE9"/>
    <w:multiLevelType w:val="hybridMultilevel"/>
    <w:tmpl w:val="72C0D11E"/>
    <w:lvl w:ilvl="0" w:tplc="0568B98A">
      <w:start w:val="1"/>
      <w:numFmt w:val="lowerLetter"/>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4000642"/>
    <w:multiLevelType w:val="hybridMultilevel"/>
    <w:tmpl w:val="A85A1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EE2146"/>
    <w:multiLevelType w:val="multilevel"/>
    <w:tmpl w:val="76E0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B158F3"/>
    <w:multiLevelType w:val="hybridMultilevel"/>
    <w:tmpl w:val="C200EF1A"/>
    <w:lvl w:ilvl="0" w:tplc="ED6608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6252B2C"/>
    <w:multiLevelType w:val="hybridMultilevel"/>
    <w:tmpl w:val="07465044"/>
    <w:lvl w:ilvl="0" w:tplc="02167E0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42D1304"/>
    <w:multiLevelType w:val="multilevel"/>
    <w:tmpl w:val="768A03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940F84"/>
    <w:multiLevelType w:val="hybridMultilevel"/>
    <w:tmpl w:val="FED85F8E"/>
    <w:lvl w:ilvl="0" w:tplc="585E740E">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3510BF"/>
    <w:multiLevelType w:val="hybridMultilevel"/>
    <w:tmpl w:val="C74E7AEC"/>
    <w:lvl w:ilvl="0" w:tplc="4BD000F4">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nsid w:val="2A1B190F"/>
    <w:multiLevelType w:val="hybridMultilevel"/>
    <w:tmpl w:val="5CDE46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46C86"/>
    <w:multiLevelType w:val="hybridMultilevel"/>
    <w:tmpl w:val="3CF03354"/>
    <w:lvl w:ilvl="0" w:tplc="389C06A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C8B19FD"/>
    <w:multiLevelType w:val="hybridMultilevel"/>
    <w:tmpl w:val="95BA74FC"/>
    <w:lvl w:ilvl="0" w:tplc="04090017">
      <w:start w:val="1"/>
      <w:numFmt w:val="lowerLetter"/>
      <w:lvlText w:val="%1)"/>
      <w:lvlJc w:val="left"/>
      <w:pPr>
        <w:ind w:left="-374" w:hanging="360"/>
      </w:pPr>
      <w:rPr>
        <w:rFonts w:hint="default"/>
      </w:rPr>
    </w:lvl>
    <w:lvl w:ilvl="1" w:tplc="04090019" w:tentative="1">
      <w:start w:val="1"/>
      <w:numFmt w:val="lowerLetter"/>
      <w:lvlText w:val="%2."/>
      <w:lvlJc w:val="left"/>
      <w:pPr>
        <w:ind w:left="346" w:hanging="360"/>
      </w:pPr>
    </w:lvl>
    <w:lvl w:ilvl="2" w:tplc="0409001B" w:tentative="1">
      <w:start w:val="1"/>
      <w:numFmt w:val="lowerRoman"/>
      <w:lvlText w:val="%3."/>
      <w:lvlJc w:val="right"/>
      <w:pPr>
        <w:ind w:left="1066" w:hanging="180"/>
      </w:pPr>
    </w:lvl>
    <w:lvl w:ilvl="3" w:tplc="0409000F" w:tentative="1">
      <w:start w:val="1"/>
      <w:numFmt w:val="decimal"/>
      <w:lvlText w:val="%4."/>
      <w:lvlJc w:val="left"/>
      <w:pPr>
        <w:ind w:left="1786" w:hanging="360"/>
      </w:pPr>
    </w:lvl>
    <w:lvl w:ilvl="4" w:tplc="04090019" w:tentative="1">
      <w:start w:val="1"/>
      <w:numFmt w:val="lowerLetter"/>
      <w:lvlText w:val="%5."/>
      <w:lvlJc w:val="left"/>
      <w:pPr>
        <w:ind w:left="2506" w:hanging="360"/>
      </w:pPr>
    </w:lvl>
    <w:lvl w:ilvl="5" w:tplc="0409001B" w:tentative="1">
      <w:start w:val="1"/>
      <w:numFmt w:val="lowerRoman"/>
      <w:lvlText w:val="%6."/>
      <w:lvlJc w:val="right"/>
      <w:pPr>
        <w:ind w:left="3226" w:hanging="180"/>
      </w:pPr>
    </w:lvl>
    <w:lvl w:ilvl="6" w:tplc="0409000F" w:tentative="1">
      <w:start w:val="1"/>
      <w:numFmt w:val="decimal"/>
      <w:lvlText w:val="%7."/>
      <w:lvlJc w:val="left"/>
      <w:pPr>
        <w:ind w:left="3946" w:hanging="360"/>
      </w:pPr>
    </w:lvl>
    <w:lvl w:ilvl="7" w:tplc="04090019" w:tentative="1">
      <w:start w:val="1"/>
      <w:numFmt w:val="lowerLetter"/>
      <w:lvlText w:val="%8."/>
      <w:lvlJc w:val="left"/>
      <w:pPr>
        <w:ind w:left="4666" w:hanging="360"/>
      </w:pPr>
    </w:lvl>
    <w:lvl w:ilvl="8" w:tplc="0409001B" w:tentative="1">
      <w:start w:val="1"/>
      <w:numFmt w:val="lowerRoman"/>
      <w:lvlText w:val="%9."/>
      <w:lvlJc w:val="right"/>
      <w:pPr>
        <w:ind w:left="5386" w:hanging="180"/>
      </w:pPr>
    </w:lvl>
  </w:abstractNum>
  <w:abstractNum w:abstractNumId="11">
    <w:nsid w:val="2C951C4C"/>
    <w:multiLevelType w:val="multilevel"/>
    <w:tmpl w:val="AE267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AE5B0C"/>
    <w:multiLevelType w:val="multilevel"/>
    <w:tmpl w:val="6760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BF3A16"/>
    <w:multiLevelType w:val="hybridMultilevel"/>
    <w:tmpl w:val="D75EA884"/>
    <w:lvl w:ilvl="0" w:tplc="7A48C360">
      <w:numFmt w:val="bullet"/>
      <w:lvlText w:val="•"/>
      <w:lvlJc w:val="left"/>
      <w:pPr>
        <w:ind w:left="1800" w:hanging="360"/>
      </w:pPr>
      <w:rPr>
        <w:rFonts w:ascii="ArialMT" w:eastAsia="Times New Roman" w:hAnsi="ArialMT" w:cs="Arial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0E21C62"/>
    <w:multiLevelType w:val="hybridMultilevel"/>
    <w:tmpl w:val="4692A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285C92"/>
    <w:multiLevelType w:val="multilevel"/>
    <w:tmpl w:val="30A8F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B40B44"/>
    <w:multiLevelType w:val="hybridMultilevel"/>
    <w:tmpl w:val="C68EE3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5885B2B"/>
    <w:multiLevelType w:val="hybridMultilevel"/>
    <w:tmpl w:val="B992B69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377D0792"/>
    <w:multiLevelType w:val="hybridMultilevel"/>
    <w:tmpl w:val="184C7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975F1C"/>
    <w:multiLevelType w:val="hybridMultilevel"/>
    <w:tmpl w:val="EAF0A142"/>
    <w:lvl w:ilvl="0" w:tplc="7A48C360">
      <w:numFmt w:val="bullet"/>
      <w:lvlText w:val="•"/>
      <w:lvlJc w:val="left"/>
      <w:pPr>
        <w:ind w:left="1800" w:hanging="360"/>
      </w:pPr>
      <w:rPr>
        <w:rFonts w:ascii="ArialMT" w:eastAsia="Times New Roman"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22EFA"/>
    <w:multiLevelType w:val="multilevel"/>
    <w:tmpl w:val="D92E3238"/>
    <w:lvl w:ilvl="0">
      <w:start w:val="1"/>
      <w:numFmt w:val="decimal"/>
      <w:lvlText w:val="%1."/>
      <w:lvlJc w:val="left"/>
      <w:pPr>
        <w:tabs>
          <w:tab w:val="num" w:pos="3510"/>
        </w:tabs>
        <w:ind w:left="3510" w:hanging="360"/>
      </w:pPr>
    </w:lvl>
    <w:lvl w:ilvl="1" w:tentative="1">
      <w:start w:val="1"/>
      <w:numFmt w:val="decimal"/>
      <w:lvlText w:val="%2."/>
      <w:lvlJc w:val="left"/>
      <w:pPr>
        <w:tabs>
          <w:tab w:val="num" w:pos="4230"/>
        </w:tabs>
        <w:ind w:left="4230" w:hanging="360"/>
      </w:pPr>
    </w:lvl>
    <w:lvl w:ilvl="2" w:tentative="1">
      <w:start w:val="1"/>
      <w:numFmt w:val="decimal"/>
      <w:lvlText w:val="%3."/>
      <w:lvlJc w:val="left"/>
      <w:pPr>
        <w:tabs>
          <w:tab w:val="num" w:pos="4950"/>
        </w:tabs>
        <w:ind w:left="4950" w:hanging="360"/>
      </w:pPr>
    </w:lvl>
    <w:lvl w:ilvl="3" w:tentative="1">
      <w:start w:val="1"/>
      <w:numFmt w:val="decimal"/>
      <w:lvlText w:val="%4."/>
      <w:lvlJc w:val="left"/>
      <w:pPr>
        <w:tabs>
          <w:tab w:val="num" w:pos="5670"/>
        </w:tabs>
        <w:ind w:left="5670" w:hanging="360"/>
      </w:pPr>
    </w:lvl>
    <w:lvl w:ilvl="4" w:tentative="1">
      <w:start w:val="1"/>
      <w:numFmt w:val="decimal"/>
      <w:lvlText w:val="%5."/>
      <w:lvlJc w:val="left"/>
      <w:pPr>
        <w:tabs>
          <w:tab w:val="num" w:pos="6390"/>
        </w:tabs>
        <w:ind w:left="6390" w:hanging="360"/>
      </w:pPr>
    </w:lvl>
    <w:lvl w:ilvl="5" w:tentative="1">
      <w:start w:val="1"/>
      <w:numFmt w:val="decimal"/>
      <w:lvlText w:val="%6."/>
      <w:lvlJc w:val="left"/>
      <w:pPr>
        <w:tabs>
          <w:tab w:val="num" w:pos="7110"/>
        </w:tabs>
        <w:ind w:left="7110" w:hanging="360"/>
      </w:pPr>
    </w:lvl>
    <w:lvl w:ilvl="6" w:tentative="1">
      <w:start w:val="1"/>
      <w:numFmt w:val="decimal"/>
      <w:lvlText w:val="%7."/>
      <w:lvlJc w:val="left"/>
      <w:pPr>
        <w:tabs>
          <w:tab w:val="num" w:pos="7830"/>
        </w:tabs>
        <w:ind w:left="7830" w:hanging="360"/>
      </w:pPr>
    </w:lvl>
    <w:lvl w:ilvl="7" w:tentative="1">
      <w:start w:val="1"/>
      <w:numFmt w:val="decimal"/>
      <w:lvlText w:val="%8."/>
      <w:lvlJc w:val="left"/>
      <w:pPr>
        <w:tabs>
          <w:tab w:val="num" w:pos="8550"/>
        </w:tabs>
        <w:ind w:left="8550" w:hanging="360"/>
      </w:pPr>
    </w:lvl>
    <w:lvl w:ilvl="8" w:tentative="1">
      <w:start w:val="1"/>
      <w:numFmt w:val="decimal"/>
      <w:lvlText w:val="%9."/>
      <w:lvlJc w:val="left"/>
      <w:pPr>
        <w:tabs>
          <w:tab w:val="num" w:pos="9270"/>
        </w:tabs>
        <w:ind w:left="9270" w:hanging="360"/>
      </w:pPr>
    </w:lvl>
  </w:abstractNum>
  <w:abstractNum w:abstractNumId="21">
    <w:nsid w:val="401E0330"/>
    <w:multiLevelType w:val="hybridMultilevel"/>
    <w:tmpl w:val="367EEC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0931356"/>
    <w:multiLevelType w:val="hybridMultilevel"/>
    <w:tmpl w:val="9F02A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6322E18"/>
    <w:multiLevelType w:val="hybridMultilevel"/>
    <w:tmpl w:val="2818871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4">
    <w:nsid w:val="4A444C38"/>
    <w:multiLevelType w:val="hybridMultilevel"/>
    <w:tmpl w:val="7BBC7328"/>
    <w:lvl w:ilvl="0" w:tplc="389C06A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583661"/>
    <w:multiLevelType w:val="hybridMultilevel"/>
    <w:tmpl w:val="C39004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4C3A237C"/>
    <w:multiLevelType w:val="hybridMultilevel"/>
    <w:tmpl w:val="FB2C55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5BD84927"/>
    <w:multiLevelType w:val="multilevel"/>
    <w:tmpl w:val="4A061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223B0E"/>
    <w:multiLevelType w:val="hybridMultilevel"/>
    <w:tmpl w:val="7D02437C"/>
    <w:lvl w:ilvl="0" w:tplc="7A48C360">
      <w:numFmt w:val="bullet"/>
      <w:lvlText w:val="•"/>
      <w:lvlJc w:val="left"/>
      <w:pPr>
        <w:ind w:left="3240" w:hanging="360"/>
      </w:pPr>
      <w:rPr>
        <w:rFonts w:ascii="ArialMT" w:eastAsia="Times New Roman" w:hAnsi="ArialMT" w:cs="ArialMT"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E9A1683"/>
    <w:multiLevelType w:val="hybridMultilevel"/>
    <w:tmpl w:val="E3A48740"/>
    <w:lvl w:ilvl="0" w:tplc="B922CAC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16827FD"/>
    <w:multiLevelType w:val="hybridMultilevel"/>
    <w:tmpl w:val="9BAA57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1CE5B04"/>
    <w:multiLevelType w:val="multilevel"/>
    <w:tmpl w:val="AE267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0957FE"/>
    <w:multiLevelType w:val="hybridMultilevel"/>
    <w:tmpl w:val="E1FAB3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A76C88"/>
    <w:multiLevelType w:val="multilevel"/>
    <w:tmpl w:val="DE5E6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001CA0"/>
    <w:multiLevelType w:val="hybridMultilevel"/>
    <w:tmpl w:val="9702A6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8B705E6"/>
    <w:multiLevelType w:val="hybridMultilevel"/>
    <w:tmpl w:val="C1A0A6AA"/>
    <w:lvl w:ilvl="0" w:tplc="C2F2676A">
      <w:start w:val="1"/>
      <w:numFmt w:val="decimal"/>
      <w:lvlText w:val="%1."/>
      <w:lvlJc w:val="left"/>
      <w:pPr>
        <w:tabs>
          <w:tab w:val="num" w:pos="1080"/>
        </w:tabs>
        <w:ind w:left="1080" w:hanging="72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A1E5886"/>
    <w:multiLevelType w:val="hybridMultilevel"/>
    <w:tmpl w:val="C2DAC6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573870"/>
    <w:multiLevelType w:val="hybridMultilevel"/>
    <w:tmpl w:val="51326A52"/>
    <w:lvl w:ilvl="0" w:tplc="5994D454">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0246C3D"/>
    <w:multiLevelType w:val="multilevel"/>
    <w:tmpl w:val="49B8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6D18DB"/>
    <w:multiLevelType w:val="hybridMultilevel"/>
    <w:tmpl w:val="555ACD7C"/>
    <w:lvl w:ilvl="0" w:tplc="6996166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nsid w:val="735D0F6B"/>
    <w:multiLevelType w:val="hybridMultilevel"/>
    <w:tmpl w:val="142AE4C2"/>
    <w:lvl w:ilvl="0" w:tplc="3F66AF00">
      <w:start w:val="1"/>
      <w:numFmt w:val="lowerLetter"/>
      <w:lvlText w:val="%1."/>
      <w:lvlJc w:val="left"/>
      <w:pPr>
        <w:ind w:left="1836" w:hanging="11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2502BF"/>
    <w:multiLevelType w:val="hybridMultilevel"/>
    <w:tmpl w:val="79124100"/>
    <w:lvl w:ilvl="0" w:tplc="389C06A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7C507D5"/>
    <w:multiLevelType w:val="hybridMultilevel"/>
    <w:tmpl w:val="40D2168C"/>
    <w:lvl w:ilvl="0" w:tplc="389C06A0">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78F056A1"/>
    <w:multiLevelType w:val="hybridMultilevel"/>
    <w:tmpl w:val="484E3D44"/>
    <w:lvl w:ilvl="0" w:tplc="7A48C360">
      <w:numFmt w:val="bullet"/>
      <w:lvlText w:val="•"/>
      <w:lvlJc w:val="left"/>
      <w:pPr>
        <w:ind w:left="3600" w:hanging="360"/>
      </w:pPr>
      <w:rPr>
        <w:rFonts w:ascii="ArialMT" w:eastAsia="Times New Roman" w:hAnsi="ArialMT" w:cs="ArialMT"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nsid w:val="78F7702B"/>
    <w:multiLevelType w:val="hybridMultilevel"/>
    <w:tmpl w:val="FC8C224E"/>
    <w:lvl w:ilvl="0" w:tplc="8DEE64EA">
      <w:start w:val="1"/>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nsid w:val="7D60322F"/>
    <w:multiLevelType w:val="hybridMultilevel"/>
    <w:tmpl w:val="E924C268"/>
    <w:lvl w:ilvl="0" w:tplc="389C06A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6468A1"/>
    <w:multiLevelType w:val="multilevel"/>
    <w:tmpl w:val="AE267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9"/>
  </w:num>
  <w:num w:numId="3">
    <w:abstractNumId w:val="5"/>
  </w:num>
  <w:num w:numId="4">
    <w:abstractNumId w:val="3"/>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4"/>
  </w:num>
  <w:num w:numId="8">
    <w:abstractNumId w:val="23"/>
  </w:num>
  <w:num w:numId="9">
    <w:abstractNumId w:val="21"/>
  </w:num>
  <w:num w:numId="10">
    <w:abstractNumId w:val="17"/>
  </w:num>
  <w:num w:numId="11">
    <w:abstractNumId w:val="30"/>
  </w:num>
  <w:num w:numId="12">
    <w:abstractNumId w:val="25"/>
  </w:num>
  <w:num w:numId="13">
    <w:abstractNumId w:val="26"/>
  </w:num>
  <w:num w:numId="14">
    <w:abstractNumId w:val="39"/>
  </w:num>
  <w:num w:numId="15">
    <w:abstractNumId w:val="8"/>
  </w:num>
  <w:num w:numId="16">
    <w:abstractNumId w:val="4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4"/>
  </w:num>
  <w:num w:numId="20">
    <w:abstractNumId w:val="13"/>
  </w:num>
  <w:num w:numId="21">
    <w:abstractNumId w:val="28"/>
  </w:num>
  <w:num w:numId="22">
    <w:abstractNumId w:val="43"/>
  </w:num>
  <w:num w:numId="23">
    <w:abstractNumId w:val="19"/>
  </w:num>
  <w:num w:numId="24">
    <w:abstractNumId w:val="41"/>
  </w:num>
  <w:num w:numId="25">
    <w:abstractNumId w:val="45"/>
  </w:num>
  <w:num w:numId="26">
    <w:abstractNumId w:val="42"/>
  </w:num>
  <w:num w:numId="27">
    <w:abstractNumId w:val="9"/>
  </w:num>
  <w:num w:numId="28">
    <w:abstractNumId w:val="24"/>
  </w:num>
  <w:num w:numId="29">
    <w:abstractNumId w:val="1"/>
  </w:num>
  <w:num w:numId="30">
    <w:abstractNumId w:val="34"/>
  </w:num>
  <w:num w:numId="31">
    <w:abstractNumId w:val="37"/>
  </w:num>
  <w:num w:numId="32">
    <w:abstractNumId w:val="16"/>
  </w:num>
  <w:num w:numId="33">
    <w:abstractNumId w:val="18"/>
  </w:num>
  <w:num w:numId="34">
    <w:abstractNumId w:val="20"/>
  </w:num>
  <w:num w:numId="35">
    <w:abstractNumId w:val="27"/>
  </w:num>
  <w:num w:numId="36">
    <w:abstractNumId w:val="38"/>
  </w:num>
  <w:num w:numId="37">
    <w:abstractNumId w:val="6"/>
  </w:num>
  <w:num w:numId="38">
    <w:abstractNumId w:val="0"/>
  </w:num>
  <w:num w:numId="39">
    <w:abstractNumId w:val="32"/>
  </w:num>
  <w:num w:numId="40">
    <w:abstractNumId w:val="36"/>
  </w:num>
  <w:num w:numId="41">
    <w:abstractNumId w:val="33"/>
  </w:num>
  <w:num w:numId="42">
    <w:abstractNumId w:val="12"/>
  </w:num>
  <w:num w:numId="43">
    <w:abstractNumId w:val="15"/>
  </w:num>
  <w:num w:numId="44">
    <w:abstractNumId w:val="2"/>
  </w:num>
  <w:num w:numId="45">
    <w:abstractNumId w:val="11"/>
  </w:num>
  <w:num w:numId="46">
    <w:abstractNumId w:val="4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ENInstantFormat&gt;"/>
  </w:docVars>
  <w:rsids>
    <w:rsidRoot w:val="0054643B"/>
    <w:rsid w:val="0000031E"/>
    <w:rsid w:val="0000034C"/>
    <w:rsid w:val="0000041F"/>
    <w:rsid w:val="000004B9"/>
    <w:rsid w:val="00001051"/>
    <w:rsid w:val="00001115"/>
    <w:rsid w:val="00001B48"/>
    <w:rsid w:val="00001CAC"/>
    <w:rsid w:val="00002593"/>
    <w:rsid w:val="000028EB"/>
    <w:rsid w:val="00002DC0"/>
    <w:rsid w:val="0000343E"/>
    <w:rsid w:val="000034D7"/>
    <w:rsid w:val="0000355B"/>
    <w:rsid w:val="0000356E"/>
    <w:rsid w:val="00003CCA"/>
    <w:rsid w:val="00004533"/>
    <w:rsid w:val="00004A4F"/>
    <w:rsid w:val="0000501F"/>
    <w:rsid w:val="000052A8"/>
    <w:rsid w:val="00005936"/>
    <w:rsid w:val="00005973"/>
    <w:rsid w:val="000067B4"/>
    <w:rsid w:val="0000687D"/>
    <w:rsid w:val="0000693B"/>
    <w:rsid w:val="0000693E"/>
    <w:rsid w:val="00007D02"/>
    <w:rsid w:val="00010E54"/>
    <w:rsid w:val="0001172F"/>
    <w:rsid w:val="00011734"/>
    <w:rsid w:val="00011C0A"/>
    <w:rsid w:val="0001212F"/>
    <w:rsid w:val="00012C64"/>
    <w:rsid w:val="00012C8D"/>
    <w:rsid w:val="00012CDB"/>
    <w:rsid w:val="000137A7"/>
    <w:rsid w:val="000146A8"/>
    <w:rsid w:val="00014876"/>
    <w:rsid w:val="000149FE"/>
    <w:rsid w:val="00014F7F"/>
    <w:rsid w:val="0001572E"/>
    <w:rsid w:val="00015DBB"/>
    <w:rsid w:val="00016E00"/>
    <w:rsid w:val="0001733D"/>
    <w:rsid w:val="00020104"/>
    <w:rsid w:val="00020B1F"/>
    <w:rsid w:val="00020C6B"/>
    <w:rsid w:val="000211F1"/>
    <w:rsid w:val="00021235"/>
    <w:rsid w:val="0002123B"/>
    <w:rsid w:val="00021471"/>
    <w:rsid w:val="000218AF"/>
    <w:rsid w:val="00021EBA"/>
    <w:rsid w:val="00021FCF"/>
    <w:rsid w:val="00022AA5"/>
    <w:rsid w:val="00022F04"/>
    <w:rsid w:val="00022F60"/>
    <w:rsid w:val="00023074"/>
    <w:rsid w:val="00023C34"/>
    <w:rsid w:val="00023DCA"/>
    <w:rsid w:val="00024430"/>
    <w:rsid w:val="00024E98"/>
    <w:rsid w:val="00025562"/>
    <w:rsid w:val="000256F4"/>
    <w:rsid w:val="00025A66"/>
    <w:rsid w:val="00025C89"/>
    <w:rsid w:val="00026214"/>
    <w:rsid w:val="00027CD4"/>
    <w:rsid w:val="00027D6A"/>
    <w:rsid w:val="000303EB"/>
    <w:rsid w:val="000305A2"/>
    <w:rsid w:val="000307C4"/>
    <w:rsid w:val="00030CCC"/>
    <w:rsid w:val="00031704"/>
    <w:rsid w:val="00032893"/>
    <w:rsid w:val="000334DF"/>
    <w:rsid w:val="00034018"/>
    <w:rsid w:val="0003547D"/>
    <w:rsid w:val="000367E5"/>
    <w:rsid w:val="00036D55"/>
    <w:rsid w:val="0003755B"/>
    <w:rsid w:val="000378ED"/>
    <w:rsid w:val="00037C44"/>
    <w:rsid w:val="000403FE"/>
    <w:rsid w:val="00040897"/>
    <w:rsid w:val="00040F40"/>
    <w:rsid w:val="00040FCA"/>
    <w:rsid w:val="000410B1"/>
    <w:rsid w:val="00041336"/>
    <w:rsid w:val="00041798"/>
    <w:rsid w:val="00041CD3"/>
    <w:rsid w:val="00042381"/>
    <w:rsid w:val="0004265B"/>
    <w:rsid w:val="00042AF6"/>
    <w:rsid w:val="00042DD9"/>
    <w:rsid w:val="00042EFD"/>
    <w:rsid w:val="00043C13"/>
    <w:rsid w:val="000442F9"/>
    <w:rsid w:val="0004459D"/>
    <w:rsid w:val="000460E2"/>
    <w:rsid w:val="00047846"/>
    <w:rsid w:val="00047A12"/>
    <w:rsid w:val="00050425"/>
    <w:rsid w:val="00050B1C"/>
    <w:rsid w:val="00050BE2"/>
    <w:rsid w:val="00051007"/>
    <w:rsid w:val="000519A3"/>
    <w:rsid w:val="00051A73"/>
    <w:rsid w:val="00052A59"/>
    <w:rsid w:val="00053B6E"/>
    <w:rsid w:val="00053CF3"/>
    <w:rsid w:val="00054504"/>
    <w:rsid w:val="000548A2"/>
    <w:rsid w:val="00054AA9"/>
    <w:rsid w:val="00054DB8"/>
    <w:rsid w:val="000557E4"/>
    <w:rsid w:val="00055D01"/>
    <w:rsid w:val="00056405"/>
    <w:rsid w:val="00056B31"/>
    <w:rsid w:val="00056C03"/>
    <w:rsid w:val="0005785D"/>
    <w:rsid w:val="00060507"/>
    <w:rsid w:val="000607D6"/>
    <w:rsid w:val="00060BAE"/>
    <w:rsid w:val="00061104"/>
    <w:rsid w:val="0006139C"/>
    <w:rsid w:val="00061C37"/>
    <w:rsid w:val="00062B69"/>
    <w:rsid w:val="00063B2B"/>
    <w:rsid w:val="00063C10"/>
    <w:rsid w:val="00063F1C"/>
    <w:rsid w:val="000647E4"/>
    <w:rsid w:val="00064A7D"/>
    <w:rsid w:val="00064E0D"/>
    <w:rsid w:val="00064FDD"/>
    <w:rsid w:val="00065392"/>
    <w:rsid w:val="000656A7"/>
    <w:rsid w:val="000658A5"/>
    <w:rsid w:val="000665DE"/>
    <w:rsid w:val="00067C5A"/>
    <w:rsid w:val="0007055A"/>
    <w:rsid w:val="00070603"/>
    <w:rsid w:val="00071DB4"/>
    <w:rsid w:val="00072085"/>
    <w:rsid w:val="000723E8"/>
    <w:rsid w:val="00072795"/>
    <w:rsid w:val="000727D4"/>
    <w:rsid w:val="00072F37"/>
    <w:rsid w:val="00073062"/>
    <w:rsid w:val="000730CD"/>
    <w:rsid w:val="00073379"/>
    <w:rsid w:val="00073590"/>
    <w:rsid w:val="0007381B"/>
    <w:rsid w:val="00073DF8"/>
    <w:rsid w:val="0007411D"/>
    <w:rsid w:val="000745AD"/>
    <w:rsid w:val="00074AEE"/>
    <w:rsid w:val="00074F37"/>
    <w:rsid w:val="000751CB"/>
    <w:rsid w:val="00075289"/>
    <w:rsid w:val="0007638D"/>
    <w:rsid w:val="0007641B"/>
    <w:rsid w:val="000767F9"/>
    <w:rsid w:val="00076E5B"/>
    <w:rsid w:val="00077DF7"/>
    <w:rsid w:val="00080308"/>
    <w:rsid w:val="00080400"/>
    <w:rsid w:val="00080A78"/>
    <w:rsid w:val="00080DCF"/>
    <w:rsid w:val="00081DC7"/>
    <w:rsid w:val="00081E5F"/>
    <w:rsid w:val="000827B6"/>
    <w:rsid w:val="00082B60"/>
    <w:rsid w:val="00082E87"/>
    <w:rsid w:val="0008399D"/>
    <w:rsid w:val="00083B4C"/>
    <w:rsid w:val="00083D8D"/>
    <w:rsid w:val="00085967"/>
    <w:rsid w:val="00085BA0"/>
    <w:rsid w:val="00085F15"/>
    <w:rsid w:val="00086296"/>
    <w:rsid w:val="00086382"/>
    <w:rsid w:val="000867B8"/>
    <w:rsid w:val="000873F8"/>
    <w:rsid w:val="00087E08"/>
    <w:rsid w:val="000903DB"/>
    <w:rsid w:val="00090DFB"/>
    <w:rsid w:val="000916E6"/>
    <w:rsid w:val="0009223D"/>
    <w:rsid w:val="00092502"/>
    <w:rsid w:val="00092834"/>
    <w:rsid w:val="0009381B"/>
    <w:rsid w:val="00094468"/>
    <w:rsid w:val="0009483F"/>
    <w:rsid w:val="00094C77"/>
    <w:rsid w:val="0009528C"/>
    <w:rsid w:val="000952EF"/>
    <w:rsid w:val="00095B8C"/>
    <w:rsid w:val="00096974"/>
    <w:rsid w:val="00097ED7"/>
    <w:rsid w:val="000A19A1"/>
    <w:rsid w:val="000A40B7"/>
    <w:rsid w:val="000A4988"/>
    <w:rsid w:val="000A4FD5"/>
    <w:rsid w:val="000A690A"/>
    <w:rsid w:val="000A6CC7"/>
    <w:rsid w:val="000A6FF9"/>
    <w:rsid w:val="000A7260"/>
    <w:rsid w:val="000A7B08"/>
    <w:rsid w:val="000B1CD5"/>
    <w:rsid w:val="000B27CC"/>
    <w:rsid w:val="000B296C"/>
    <w:rsid w:val="000B3555"/>
    <w:rsid w:val="000B35FD"/>
    <w:rsid w:val="000B423A"/>
    <w:rsid w:val="000B4414"/>
    <w:rsid w:val="000B48AB"/>
    <w:rsid w:val="000B4B5C"/>
    <w:rsid w:val="000B5A0D"/>
    <w:rsid w:val="000B603F"/>
    <w:rsid w:val="000B60B3"/>
    <w:rsid w:val="000B6722"/>
    <w:rsid w:val="000B6D3F"/>
    <w:rsid w:val="000B70F6"/>
    <w:rsid w:val="000B73B4"/>
    <w:rsid w:val="000B758D"/>
    <w:rsid w:val="000B7850"/>
    <w:rsid w:val="000C0645"/>
    <w:rsid w:val="000C06F8"/>
    <w:rsid w:val="000C0E2D"/>
    <w:rsid w:val="000C17B2"/>
    <w:rsid w:val="000C1CA1"/>
    <w:rsid w:val="000C20AC"/>
    <w:rsid w:val="000C26AF"/>
    <w:rsid w:val="000C2EB0"/>
    <w:rsid w:val="000C3B04"/>
    <w:rsid w:val="000C4747"/>
    <w:rsid w:val="000C4841"/>
    <w:rsid w:val="000C4851"/>
    <w:rsid w:val="000C49D8"/>
    <w:rsid w:val="000C5CA0"/>
    <w:rsid w:val="000C7017"/>
    <w:rsid w:val="000C7483"/>
    <w:rsid w:val="000C74C7"/>
    <w:rsid w:val="000C775C"/>
    <w:rsid w:val="000D1665"/>
    <w:rsid w:val="000D1985"/>
    <w:rsid w:val="000D1E1E"/>
    <w:rsid w:val="000D2457"/>
    <w:rsid w:val="000D2D25"/>
    <w:rsid w:val="000D342B"/>
    <w:rsid w:val="000D40D9"/>
    <w:rsid w:val="000D4526"/>
    <w:rsid w:val="000D54BA"/>
    <w:rsid w:val="000D5CF2"/>
    <w:rsid w:val="000D6063"/>
    <w:rsid w:val="000D6246"/>
    <w:rsid w:val="000D6863"/>
    <w:rsid w:val="000D6D0B"/>
    <w:rsid w:val="000D7031"/>
    <w:rsid w:val="000D7084"/>
    <w:rsid w:val="000D745F"/>
    <w:rsid w:val="000D75F7"/>
    <w:rsid w:val="000D7A7A"/>
    <w:rsid w:val="000E018D"/>
    <w:rsid w:val="000E0200"/>
    <w:rsid w:val="000E0289"/>
    <w:rsid w:val="000E08BA"/>
    <w:rsid w:val="000E0D4A"/>
    <w:rsid w:val="000E14A4"/>
    <w:rsid w:val="000E185E"/>
    <w:rsid w:val="000E2041"/>
    <w:rsid w:val="000E38DE"/>
    <w:rsid w:val="000E39AC"/>
    <w:rsid w:val="000E3E3A"/>
    <w:rsid w:val="000E4236"/>
    <w:rsid w:val="000E4591"/>
    <w:rsid w:val="000E5164"/>
    <w:rsid w:val="000E5F0A"/>
    <w:rsid w:val="000E5FA6"/>
    <w:rsid w:val="000E6FCB"/>
    <w:rsid w:val="000E77E1"/>
    <w:rsid w:val="000E7834"/>
    <w:rsid w:val="000F015D"/>
    <w:rsid w:val="000F0288"/>
    <w:rsid w:val="000F0640"/>
    <w:rsid w:val="000F07A6"/>
    <w:rsid w:val="000F0DFB"/>
    <w:rsid w:val="000F1000"/>
    <w:rsid w:val="000F1D9B"/>
    <w:rsid w:val="000F27A5"/>
    <w:rsid w:val="000F27D2"/>
    <w:rsid w:val="000F341C"/>
    <w:rsid w:val="000F3678"/>
    <w:rsid w:val="000F3735"/>
    <w:rsid w:val="000F4034"/>
    <w:rsid w:val="000F4152"/>
    <w:rsid w:val="000F4501"/>
    <w:rsid w:val="000F4725"/>
    <w:rsid w:val="000F47CA"/>
    <w:rsid w:val="000F54C5"/>
    <w:rsid w:val="000F54CD"/>
    <w:rsid w:val="000F5E7C"/>
    <w:rsid w:val="000F5FA1"/>
    <w:rsid w:val="000F6775"/>
    <w:rsid w:val="000F6A8F"/>
    <w:rsid w:val="000F6DAF"/>
    <w:rsid w:val="000F6F1B"/>
    <w:rsid w:val="000F7174"/>
    <w:rsid w:val="000F74F2"/>
    <w:rsid w:val="000F7BA7"/>
    <w:rsid w:val="00100A62"/>
    <w:rsid w:val="00101F7A"/>
    <w:rsid w:val="00102187"/>
    <w:rsid w:val="0010227F"/>
    <w:rsid w:val="00102541"/>
    <w:rsid w:val="00102910"/>
    <w:rsid w:val="00103220"/>
    <w:rsid w:val="0010361E"/>
    <w:rsid w:val="00103793"/>
    <w:rsid w:val="001040F7"/>
    <w:rsid w:val="001042DB"/>
    <w:rsid w:val="00104875"/>
    <w:rsid w:val="0010496B"/>
    <w:rsid w:val="00104B5F"/>
    <w:rsid w:val="001050D0"/>
    <w:rsid w:val="00105CD8"/>
    <w:rsid w:val="00105F1D"/>
    <w:rsid w:val="001063DC"/>
    <w:rsid w:val="00106685"/>
    <w:rsid w:val="00106690"/>
    <w:rsid w:val="00106CF6"/>
    <w:rsid w:val="001104BB"/>
    <w:rsid w:val="0011057C"/>
    <w:rsid w:val="00110BD2"/>
    <w:rsid w:val="0011176A"/>
    <w:rsid w:val="001119F4"/>
    <w:rsid w:val="00112D23"/>
    <w:rsid w:val="00113A90"/>
    <w:rsid w:val="0011461A"/>
    <w:rsid w:val="00114D99"/>
    <w:rsid w:val="00115710"/>
    <w:rsid w:val="001159B3"/>
    <w:rsid w:val="00116F50"/>
    <w:rsid w:val="00117051"/>
    <w:rsid w:val="00117342"/>
    <w:rsid w:val="001176A6"/>
    <w:rsid w:val="00117D03"/>
    <w:rsid w:val="001201BA"/>
    <w:rsid w:val="001202C7"/>
    <w:rsid w:val="00120B10"/>
    <w:rsid w:val="00121322"/>
    <w:rsid w:val="00121D8C"/>
    <w:rsid w:val="00121D9B"/>
    <w:rsid w:val="0012246A"/>
    <w:rsid w:val="00122712"/>
    <w:rsid w:val="0012287A"/>
    <w:rsid w:val="001228ED"/>
    <w:rsid w:val="001230D9"/>
    <w:rsid w:val="001232FB"/>
    <w:rsid w:val="001239B3"/>
    <w:rsid w:val="001247B3"/>
    <w:rsid w:val="00124959"/>
    <w:rsid w:val="00124B39"/>
    <w:rsid w:val="001252E4"/>
    <w:rsid w:val="001253C4"/>
    <w:rsid w:val="0012542B"/>
    <w:rsid w:val="001257C1"/>
    <w:rsid w:val="00125841"/>
    <w:rsid w:val="001273E3"/>
    <w:rsid w:val="00127506"/>
    <w:rsid w:val="00127660"/>
    <w:rsid w:val="001301B7"/>
    <w:rsid w:val="0013042C"/>
    <w:rsid w:val="00130484"/>
    <w:rsid w:val="00130C19"/>
    <w:rsid w:val="00130D92"/>
    <w:rsid w:val="00130F40"/>
    <w:rsid w:val="0013139D"/>
    <w:rsid w:val="001325F3"/>
    <w:rsid w:val="00133884"/>
    <w:rsid w:val="00133DDF"/>
    <w:rsid w:val="00135393"/>
    <w:rsid w:val="0013544E"/>
    <w:rsid w:val="001358C4"/>
    <w:rsid w:val="0013650F"/>
    <w:rsid w:val="001370BF"/>
    <w:rsid w:val="0013749B"/>
    <w:rsid w:val="001400E1"/>
    <w:rsid w:val="001401DC"/>
    <w:rsid w:val="00140876"/>
    <w:rsid w:val="0014179B"/>
    <w:rsid w:val="00141EB3"/>
    <w:rsid w:val="00142171"/>
    <w:rsid w:val="0014315B"/>
    <w:rsid w:val="00143375"/>
    <w:rsid w:val="0014367E"/>
    <w:rsid w:val="00145164"/>
    <w:rsid w:val="001458B7"/>
    <w:rsid w:val="00146A8A"/>
    <w:rsid w:val="00146C9E"/>
    <w:rsid w:val="00146E0C"/>
    <w:rsid w:val="0014792F"/>
    <w:rsid w:val="00147CB8"/>
    <w:rsid w:val="001506D5"/>
    <w:rsid w:val="00150C01"/>
    <w:rsid w:val="00150C12"/>
    <w:rsid w:val="001517AA"/>
    <w:rsid w:val="00151C59"/>
    <w:rsid w:val="00151DF4"/>
    <w:rsid w:val="00151E72"/>
    <w:rsid w:val="00152422"/>
    <w:rsid w:val="00152506"/>
    <w:rsid w:val="00152545"/>
    <w:rsid w:val="00152953"/>
    <w:rsid w:val="00152BE8"/>
    <w:rsid w:val="001537AA"/>
    <w:rsid w:val="00153B57"/>
    <w:rsid w:val="00153C74"/>
    <w:rsid w:val="00153CCC"/>
    <w:rsid w:val="00153FBF"/>
    <w:rsid w:val="0015442A"/>
    <w:rsid w:val="00154487"/>
    <w:rsid w:val="00154615"/>
    <w:rsid w:val="0015461E"/>
    <w:rsid w:val="00154A08"/>
    <w:rsid w:val="00154B2B"/>
    <w:rsid w:val="00154BFA"/>
    <w:rsid w:val="00154D92"/>
    <w:rsid w:val="00155A55"/>
    <w:rsid w:val="00155BDC"/>
    <w:rsid w:val="00155C8C"/>
    <w:rsid w:val="00155E2F"/>
    <w:rsid w:val="001561B2"/>
    <w:rsid w:val="00157111"/>
    <w:rsid w:val="001579CF"/>
    <w:rsid w:val="001579D4"/>
    <w:rsid w:val="00157A94"/>
    <w:rsid w:val="00157EF8"/>
    <w:rsid w:val="001604AE"/>
    <w:rsid w:val="00161227"/>
    <w:rsid w:val="00161501"/>
    <w:rsid w:val="0016186D"/>
    <w:rsid w:val="00161EDA"/>
    <w:rsid w:val="0016279A"/>
    <w:rsid w:val="001629BA"/>
    <w:rsid w:val="00162A52"/>
    <w:rsid w:val="00162E25"/>
    <w:rsid w:val="00162FAC"/>
    <w:rsid w:val="001634E7"/>
    <w:rsid w:val="00163564"/>
    <w:rsid w:val="00163FAA"/>
    <w:rsid w:val="001641B1"/>
    <w:rsid w:val="001646F3"/>
    <w:rsid w:val="00164F4F"/>
    <w:rsid w:val="00165743"/>
    <w:rsid w:val="0016647E"/>
    <w:rsid w:val="001674BD"/>
    <w:rsid w:val="0016790E"/>
    <w:rsid w:val="00170CD7"/>
    <w:rsid w:val="00170DD8"/>
    <w:rsid w:val="00170E33"/>
    <w:rsid w:val="0017142A"/>
    <w:rsid w:val="00171737"/>
    <w:rsid w:val="00171C8B"/>
    <w:rsid w:val="001725FA"/>
    <w:rsid w:val="00172953"/>
    <w:rsid w:val="00172E9A"/>
    <w:rsid w:val="001730AD"/>
    <w:rsid w:val="00173606"/>
    <w:rsid w:val="001736F5"/>
    <w:rsid w:val="001743CC"/>
    <w:rsid w:val="00174AEA"/>
    <w:rsid w:val="00174DDA"/>
    <w:rsid w:val="0017502C"/>
    <w:rsid w:val="00175A57"/>
    <w:rsid w:val="0017619F"/>
    <w:rsid w:val="00176323"/>
    <w:rsid w:val="00176A1D"/>
    <w:rsid w:val="00177343"/>
    <w:rsid w:val="001773C6"/>
    <w:rsid w:val="001773DF"/>
    <w:rsid w:val="0017753E"/>
    <w:rsid w:val="00177CF8"/>
    <w:rsid w:val="00177D78"/>
    <w:rsid w:val="00180ECB"/>
    <w:rsid w:val="001811E9"/>
    <w:rsid w:val="00181279"/>
    <w:rsid w:val="00181CEA"/>
    <w:rsid w:val="0018247A"/>
    <w:rsid w:val="0018287D"/>
    <w:rsid w:val="0018298A"/>
    <w:rsid w:val="0018332E"/>
    <w:rsid w:val="00183622"/>
    <w:rsid w:val="001836A7"/>
    <w:rsid w:val="00183BCB"/>
    <w:rsid w:val="00184018"/>
    <w:rsid w:val="001851C2"/>
    <w:rsid w:val="00185231"/>
    <w:rsid w:val="0018534A"/>
    <w:rsid w:val="00185628"/>
    <w:rsid w:val="00185B57"/>
    <w:rsid w:val="00186652"/>
    <w:rsid w:val="00187973"/>
    <w:rsid w:val="0019030E"/>
    <w:rsid w:val="00190530"/>
    <w:rsid w:val="00190BBA"/>
    <w:rsid w:val="001910A7"/>
    <w:rsid w:val="0019192F"/>
    <w:rsid w:val="00191C2C"/>
    <w:rsid w:val="00191D18"/>
    <w:rsid w:val="001926B8"/>
    <w:rsid w:val="00192F77"/>
    <w:rsid w:val="0019308C"/>
    <w:rsid w:val="001935BB"/>
    <w:rsid w:val="001942DF"/>
    <w:rsid w:val="0019432E"/>
    <w:rsid w:val="0019441A"/>
    <w:rsid w:val="0019535C"/>
    <w:rsid w:val="001959B8"/>
    <w:rsid w:val="00196154"/>
    <w:rsid w:val="00196304"/>
    <w:rsid w:val="00197473"/>
    <w:rsid w:val="00197907"/>
    <w:rsid w:val="001A07A8"/>
    <w:rsid w:val="001A0C0E"/>
    <w:rsid w:val="001A1291"/>
    <w:rsid w:val="001A18D6"/>
    <w:rsid w:val="001A346A"/>
    <w:rsid w:val="001A3547"/>
    <w:rsid w:val="001A38BB"/>
    <w:rsid w:val="001A4011"/>
    <w:rsid w:val="001A459A"/>
    <w:rsid w:val="001A5732"/>
    <w:rsid w:val="001A57D7"/>
    <w:rsid w:val="001A6B76"/>
    <w:rsid w:val="001A7BCF"/>
    <w:rsid w:val="001B002F"/>
    <w:rsid w:val="001B00A3"/>
    <w:rsid w:val="001B02CF"/>
    <w:rsid w:val="001B075C"/>
    <w:rsid w:val="001B1287"/>
    <w:rsid w:val="001B1E6C"/>
    <w:rsid w:val="001B2990"/>
    <w:rsid w:val="001B31C8"/>
    <w:rsid w:val="001B3C16"/>
    <w:rsid w:val="001B3CE6"/>
    <w:rsid w:val="001B3E0B"/>
    <w:rsid w:val="001B4195"/>
    <w:rsid w:val="001B4DF5"/>
    <w:rsid w:val="001B5E97"/>
    <w:rsid w:val="001B5F21"/>
    <w:rsid w:val="001B60EB"/>
    <w:rsid w:val="001B6BB2"/>
    <w:rsid w:val="001B6FBF"/>
    <w:rsid w:val="001C1D61"/>
    <w:rsid w:val="001C2F27"/>
    <w:rsid w:val="001C32E7"/>
    <w:rsid w:val="001C3C94"/>
    <w:rsid w:val="001C4911"/>
    <w:rsid w:val="001C496F"/>
    <w:rsid w:val="001C52F3"/>
    <w:rsid w:val="001C55E0"/>
    <w:rsid w:val="001C634F"/>
    <w:rsid w:val="001C6D4B"/>
    <w:rsid w:val="001C6D88"/>
    <w:rsid w:val="001C7496"/>
    <w:rsid w:val="001C75D2"/>
    <w:rsid w:val="001D0246"/>
    <w:rsid w:val="001D0AA3"/>
    <w:rsid w:val="001D0E77"/>
    <w:rsid w:val="001D13A3"/>
    <w:rsid w:val="001D1739"/>
    <w:rsid w:val="001D30A6"/>
    <w:rsid w:val="001D30E9"/>
    <w:rsid w:val="001D320D"/>
    <w:rsid w:val="001D34B8"/>
    <w:rsid w:val="001D3C53"/>
    <w:rsid w:val="001D4887"/>
    <w:rsid w:val="001D563E"/>
    <w:rsid w:val="001D5864"/>
    <w:rsid w:val="001D6083"/>
    <w:rsid w:val="001D6D51"/>
    <w:rsid w:val="001D719B"/>
    <w:rsid w:val="001D771C"/>
    <w:rsid w:val="001E00FA"/>
    <w:rsid w:val="001E0F4F"/>
    <w:rsid w:val="001E1475"/>
    <w:rsid w:val="001E233B"/>
    <w:rsid w:val="001E24BD"/>
    <w:rsid w:val="001E2B87"/>
    <w:rsid w:val="001E2C42"/>
    <w:rsid w:val="001E3449"/>
    <w:rsid w:val="001E43A5"/>
    <w:rsid w:val="001E465F"/>
    <w:rsid w:val="001E4C8E"/>
    <w:rsid w:val="001E5972"/>
    <w:rsid w:val="001E5CD5"/>
    <w:rsid w:val="001E5D04"/>
    <w:rsid w:val="001E5FD5"/>
    <w:rsid w:val="001E6BE5"/>
    <w:rsid w:val="001E7311"/>
    <w:rsid w:val="001E76C6"/>
    <w:rsid w:val="001E77F0"/>
    <w:rsid w:val="001F071B"/>
    <w:rsid w:val="001F158F"/>
    <w:rsid w:val="001F198A"/>
    <w:rsid w:val="001F24D7"/>
    <w:rsid w:val="001F2AF2"/>
    <w:rsid w:val="001F2BCE"/>
    <w:rsid w:val="001F3BFE"/>
    <w:rsid w:val="001F4077"/>
    <w:rsid w:val="001F40E1"/>
    <w:rsid w:val="001F46A8"/>
    <w:rsid w:val="001F4BA1"/>
    <w:rsid w:val="001F5628"/>
    <w:rsid w:val="001F601B"/>
    <w:rsid w:val="001F6BA3"/>
    <w:rsid w:val="001F72D1"/>
    <w:rsid w:val="001F7816"/>
    <w:rsid w:val="001F79B4"/>
    <w:rsid w:val="00200C6A"/>
    <w:rsid w:val="00201196"/>
    <w:rsid w:val="0020229B"/>
    <w:rsid w:val="00202C7D"/>
    <w:rsid w:val="0020396B"/>
    <w:rsid w:val="00203DE7"/>
    <w:rsid w:val="002045BA"/>
    <w:rsid w:val="00205ABF"/>
    <w:rsid w:val="00205C19"/>
    <w:rsid w:val="002062C4"/>
    <w:rsid w:val="0020722E"/>
    <w:rsid w:val="00207DE6"/>
    <w:rsid w:val="00207F1E"/>
    <w:rsid w:val="002102DF"/>
    <w:rsid w:val="00210AD4"/>
    <w:rsid w:val="002115A6"/>
    <w:rsid w:val="00211629"/>
    <w:rsid w:val="00211AD7"/>
    <w:rsid w:val="00211F6F"/>
    <w:rsid w:val="00212A0E"/>
    <w:rsid w:val="00213643"/>
    <w:rsid w:val="00213690"/>
    <w:rsid w:val="00214317"/>
    <w:rsid w:val="002144D2"/>
    <w:rsid w:val="002149AE"/>
    <w:rsid w:val="0021585B"/>
    <w:rsid w:val="00216178"/>
    <w:rsid w:val="0021625B"/>
    <w:rsid w:val="002169E4"/>
    <w:rsid w:val="00216B21"/>
    <w:rsid w:val="00216EE9"/>
    <w:rsid w:val="00217367"/>
    <w:rsid w:val="00217E93"/>
    <w:rsid w:val="00220B7B"/>
    <w:rsid w:val="0022137C"/>
    <w:rsid w:val="0022146B"/>
    <w:rsid w:val="00221CA5"/>
    <w:rsid w:val="00221E37"/>
    <w:rsid w:val="00221F51"/>
    <w:rsid w:val="002227C9"/>
    <w:rsid w:val="0022291A"/>
    <w:rsid w:val="00222CCA"/>
    <w:rsid w:val="00222FFA"/>
    <w:rsid w:val="0022357C"/>
    <w:rsid w:val="00224305"/>
    <w:rsid w:val="00224442"/>
    <w:rsid w:val="0022470B"/>
    <w:rsid w:val="00224B01"/>
    <w:rsid w:val="00224DE1"/>
    <w:rsid w:val="00225004"/>
    <w:rsid w:val="002257DB"/>
    <w:rsid w:val="00225FBA"/>
    <w:rsid w:val="00225FBE"/>
    <w:rsid w:val="002260E3"/>
    <w:rsid w:val="00226B5B"/>
    <w:rsid w:val="002277E5"/>
    <w:rsid w:val="00227C8D"/>
    <w:rsid w:val="0023043A"/>
    <w:rsid w:val="00230621"/>
    <w:rsid w:val="00230CB4"/>
    <w:rsid w:val="00231204"/>
    <w:rsid w:val="002316B0"/>
    <w:rsid w:val="0023188C"/>
    <w:rsid w:val="00231CF7"/>
    <w:rsid w:val="00231D68"/>
    <w:rsid w:val="002324FD"/>
    <w:rsid w:val="00232895"/>
    <w:rsid w:val="00232BFD"/>
    <w:rsid w:val="00232F33"/>
    <w:rsid w:val="00233536"/>
    <w:rsid w:val="00233B86"/>
    <w:rsid w:val="00233D30"/>
    <w:rsid w:val="00233E11"/>
    <w:rsid w:val="002340E6"/>
    <w:rsid w:val="002341FB"/>
    <w:rsid w:val="002345BF"/>
    <w:rsid w:val="00235324"/>
    <w:rsid w:val="0023575E"/>
    <w:rsid w:val="002358BA"/>
    <w:rsid w:val="002359CE"/>
    <w:rsid w:val="002370DB"/>
    <w:rsid w:val="00237A4A"/>
    <w:rsid w:val="002401F5"/>
    <w:rsid w:val="002409A7"/>
    <w:rsid w:val="002413BA"/>
    <w:rsid w:val="00241AEA"/>
    <w:rsid w:val="00241B09"/>
    <w:rsid w:val="00241C94"/>
    <w:rsid w:val="00241F4E"/>
    <w:rsid w:val="00242374"/>
    <w:rsid w:val="00242652"/>
    <w:rsid w:val="002426BE"/>
    <w:rsid w:val="00242E9A"/>
    <w:rsid w:val="002430C4"/>
    <w:rsid w:val="00243711"/>
    <w:rsid w:val="00243C80"/>
    <w:rsid w:val="00244595"/>
    <w:rsid w:val="002456BA"/>
    <w:rsid w:val="002465B7"/>
    <w:rsid w:val="002468DB"/>
    <w:rsid w:val="00246A4E"/>
    <w:rsid w:val="00246DF3"/>
    <w:rsid w:val="00247B39"/>
    <w:rsid w:val="00247D06"/>
    <w:rsid w:val="002511FD"/>
    <w:rsid w:val="00251453"/>
    <w:rsid w:val="0025169A"/>
    <w:rsid w:val="00251F02"/>
    <w:rsid w:val="00252755"/>
    <w:rsid w:val="002531E8"/>
    <w:rsid w:val="002532E6"/>
    <w:rsid w:val="002534A7"/>
    <w:rsid w:val="00253B5E"/>
    <w:rsid w:val="002541AB"/>
    <w:rsid w:val="002546DB"/>
    <w:rsid w:val="00254AA9"/>
    <w:rsid w:val="00254C5C"/>
    <w:rsid w:val="00255F34"/>
    <w:rsid w:val="00256059"/>
    <w:rsid w:val="00256076"/>
    <w:rsid w:val="00256785"/>
    <w:rsid w:val="002577F8"/>
    <w:rsid w:val="002604C1"/>
    <w:rsid w:val="002619D4"/>
    <w:rsid w:val="00261CB0"/>
    <w:rsid w:val="00261DC4"/>
    <w:rsid w:val="00261FE8"/>
    <w:rsid w:val="00262464"/>
    <w:rsid w:val="00262B1B"/>
    <w:rsid w:val="00262C22"/>
    <w:rsid w:val="00262F9D"/>
    <w:rsid w:val="00263036"/>
    <w:rsid w:val="002634EB"/>
    <w:rsid w:val="0026350F"/>
    <w:rsid w:val="00263626"/>
    <w:rsid w:val="002637FC"/>
    <w:rsid w:val="00264591"/>
    <w:rsid w:val="0026473F"/>
    <w:rsid w:val="00264DFA"/>
    <w:rsid w:val="00265203"/>
    <w:rsid w:val="0026553A"/>
    <w:rsid w:val="0026610D"/>
    <w:rsid w:val="00266151"/>
    <w:rsid w:val="0026642F"/>
    <w:rsid w:val="00266D95"/>
    <w:rsid w:val="00270429"/>
    <w:rsid w:val="00270AB0"/>
    <w:rsid w:val="00270AFF"/>
    <w:rsid w:val="00270E5E"/>
    <w:rsid w:val="00271A41"/>
    <w:rsid w:val="00271A91"/>
    <w:rsid w:val="00272E6E"/>
    <w:rsid w:val="00273A7C"/>
    <w:rsid w:val="00273A9B"/>
    <w:rsid w:val="00273E42"/>
    <w:rsid w:val="00274FC4"/>
    <w:rsid w:val="002754FF"/>
    <w:rsid w:val="00275A7B"/>
    <w:rsid w:val="00275CE6"/>
    <w:rsid w:val="00275ECE"/>
    <w:rsid w:val="002766D5"/>
    <w:rsid w:val="00276A63"/>
    <w:rsid w:val="002776C7"/>
    <w:rsid w:val="00280219"/>
    <w:rsid w:val="0028035F"/>
    <w:rsid w:val="00280A86"/>
    <w:rsid w:val="00280F73"/>
    <w:rsid w:val="00281642"/>
    <w:rsid w:val="00281A70"/>
    <w:rsid w:val="00281AA3"/>
    <w:rsid w:val="00281BB9"/>
    <w:rsid w:val="00282D25"/>
    <w:rsid w:val="00283349"/>
    <w:rsid w:val="00283481"/>
    <w:rsid w:val="00283E81"/>
    <w:rsid w:val="00283F16"/>
    <w:rsid w:val="00284D17"/>
    <w:rsid w:val="00285D43"/>
    <w:rsid w:val="00286355"/>
    <w:rsid w:val="002870DC"/>
    <w:rsid w:val="00287416"/>
    <w:rsid w:val="00287E7A"/>
    <w:rsid w:val="00290886"/>
    <w:rsid w:val="00290DDE"/>
    <w:rsid w:val="00291DE5"/>
    <w:rsid w:val="00291F60"/>
    <w:rsid w:val="00293318"/>
    <w:rsid w:val="002935B3"/>
    <w:rsid w:val="00293853"/>
    <w:rsid w:val="002944EA"/>
    <w:rsid w:val="002945C4"/>
    <w:rsid w:val="002947D0"/>
    <w:rsid w:val="00294879"/>
    <w:rsid w:val="00294D3E"/>
    <w:rsid w:val="002950B4"/>
    <w:rsid w:val="00295235"/>
    <w:rsid w:val="0029551E"/>
    <w:rsid w:val="00296362"/>
    <w:rsid w:val="002970AC"/>
    <w:rsid w:val="00297360"/>
    <w:rsid w:val="00297C87"/>
    <w:rsid w:val="002A01B5"/>
    <w:rsid w:val="002A0385"/>
    <w:rsid w:val="002A0576"/>
    <w:rsid w:val="002A07A9"/>
    <w:rsid w:val="002A0BA7"/>
    <w:rsid w:val="002A0C31"/>
    <w:rsid w:val="002A0E12"/>
    <w:rsid w:val="002A0E40"/>
    <w:rsid w:val="002A10A3"/>
    <w:rsid w:val="002A1B95"/>
    <w:rsid w:val="002A2281"/>
    <w:rsid w:val="002A273D"/>
    <w:rsid w:val="002A2B3B"/>
    <w:rsid w:val="002A3465"/>
    <w:rsid w:val="002A4C06"/>
    <w:rsid w:val="002A509A"/>
    <w:rsid w:val="002A57E5"/>
    <w:rsid w:val="002A5DBA"/>
    <w:rsid w:val="002A63D0"/>
    <w:rsid w:val="002A701E"/>
    <w:rsid w:val="002B0325"/>
    <w:rsid w:val="002B04E8"/>
    <w:rsid w:val="002B07E7"/>
    <w:rsid w:val="002B0B7A"/>
    <w:rsid w:val="002B14D4"/>
    <w:rsid w:val="002B1A39"/>
    <w:rsid w:val="002B1DBD"/>
    <w:rsid w:val="002B245C"/>
    <w:rsid w:val="002B29F6"/>
    <w:rsid w:val="002B2B93"/>
    <w:rsid w:val="002B389B"/>
    <w:rsid w:val="002B3B58"/>
    <w:rsid w:val="002B4509"/>
    <w:rsid w:val="002B45D9"/>
    <w:rsid w:val="002B4AFD"/>
    <w:rsid w:val="002B4C79"/>
    <w:rsid w:val="002B4FDA"/>
    <w:rsid w:val="002B5AE0"/>
    <w:rsid w:val="002B68EC"/>
    <w:rsid w:val="002B6AF6"/>
    <w:rsid w:val="002B6C0F"/>
    <w:rsid w:val="002B7764"/>
    <w:rsid w:val="002B7E0B"/>
    <w:rsid w:val="002B7F4F"/>
    <w:rsid w:val="002C0245"/>
    <w:rsid w:val="002C0943"/>
    <w:rsid w:val="002C1279"/>
    <w:rsid w:val="002C3854"/>
    <w:rsid w:val="002C3A4B"/>
    <w:rsid w:val="002C3E2A"/>
    <w:rsid w:val="002C430E"/>
    <w:rsid w:val="002C4375"/>
    <w:rsid w:val="002C4DC2"/>
    <w:rsid w:val="002C6114"/>
    <w:rsid w:val="002C625D"/>
    <w:rsid w:val="002C6946"/>
    <w:rsid w:val="002C78BF"/>
    <w:rsid w:val="002C7F47"/>
    <w:rsid w:val="002D0E73"/>
    <w:rsid w:val="002D121C"/>
    <w:rsid w:val="002D1706"/>
    <w:rsid w:val="002D20B0"/>
    <w:rsid w:val="002D246C"/>
    <w:rsid w:val="002D3967"/>
    <w:rsid w:val="002D3EAB"/>
    <w:rsid w:val="002D4054"/>
    <w:rsid w:val="002D4458"/>
    <w:rsid w:val="002D5140"/>
    <w:rsid w:val="002D5160"/>
    <w:rsid w:val="002D5ACC"/>
    <w:rsid w:val="002D625E"/>
    <w:rsid w:val="002D766C"/>
    <w:rsid w:val="002D7B5A"/>
    <w:rsid w:val="002D7C91"/>
    <w:rsid w:val="002D7CAD"/>
    <w:rsid w:val="002D7D78"/>
    <w:rsid w:val="002E00A9"/>
    <w:rsid w:val="002E068E"/>
    <w:rsid w:val="002E14CE"/>
    <w:rsid w:val="002E1642"/>
    <w:rsid w:val="002E2673"/>
    <w:rsid w:val="002E2D50"/>
    <w:rsid w:val="002E2F5B"/>
    <w:rsid w:val="002E3A90"/>
    <w:rsid w:val="002E3B84"/>
    <w:rsid w:val="002E46FE"/>
    <w:rsid w:val="002E48CE"/>
    <w:rsid w:val="002E516E"/>
    <w:rsid w:val="002E5778"/>
    <w:rsid w:val="002E57EA"/>
    <w:rsid w:val="002E5DDD"/>
    <w:rsid w:val="002E6B74"/>
    <w:rsid w:val="002E6F8B"/>
    <w:rsid w:val="002E79CD"/>
    <w:rsid w:val="002E7F00"/>
    <w:rsid w:val="002E7F44"/>
    <w:rsid w:val="002F003E"/>
    <w:rsid w:val="002F04EE"/>
    <w:rsid w:val="002F07B7"/>
    <w:rsid w:val="002F0BD1"/>
    <w:rsid w:val="002F0F17"/>
    <w:rsid w:val="002F0F69"/>
    <w:rsid w:val="002F1929"/>
    <w:rsid w:val="002F1E59"/>
    <w:rsid w:val="002F28C8"/>
    <w:rsid w:val="002F2ABB"/>
    <w:rsid w:val="002F3802"/>
    <w:rsid w:val="002F38BD"/>
    <w:rsid w:val="002F3EF4"/>
    <w:rsid w:val="002F418D"/>
    <w:rsid w:val="002F430D"/>
    <w:rsid w:val="002F468F"/>
    <w:rsid w:val="002F4855"/>
    <w:rsid w:val="002F48BC"/>
    <w:rsid w:val="002F4DE5"/>
    <w:rsid w:val="002F53F8"/>
    <w:rsid w:val="002F6310"/>
    <w:rsid w:val="002F6466"/>
    <w:rsid w:val="002F6565"/>
    <w:rsid w:val="002F6FF7"/>
    <w:rsid w:val="002F71C6"/>
    <w:rsid w:val="002F7286"/>
    <w:rsid w:val="002F75C1"/>
    <w:rsid w:val="002F78DB"/>
    <w:rsid w:val="002F7AF9"/>
    <w:rsid w:val="00300326"/>
    <w:rsid w:val="0030067D"/>
    <w:rsid w:val="003010A2"/>
    <w:rsid w:val="003011B1"/>
    <w:rsid w:val="00301484"/>
    <w:rsid w:val="00301888"/>
    <w:rsid w:val="00302A1C"/>
    <w:rsid w:val="00303411"/>
    <w:rsid w:val="00303679"/>
    <w:rsid w:val="00303ACB"/>
    <w:rsid w:val="00303C88"/>
    <w:rsid w:val="0030476B"/>
    <w:rsid w:val="00305309"/>
    <w:rsid w:val="00305F57"/>
    <w:rsid w:val="0030686C"/>
    <w:rsid w:val="00307830"/>
    <w:rsid w:val="00307912"/>
    <w:rsid w:val="00307F41"/>
    <w:rsid w:val="00310531"/>
    <w:rsid w:val="00310C43"/>
    <w:rsid w:val="0031164D"/>
    <w:rsid w:val="00312755"/>
    <w:rsid w:val="00312C82"/>
    <w:rsid w:val="00313838"/>
    <w:rsid w:val="003139ED"/>
    <w:rsid w:val="00313F46"/>
    <w:rsid w:val="00314762"/>
    <w:rsid w:val="003152FD"/>
    <w:rsid w:val="00315891"/>
    <w:rsid w:val="00315EF1"/>
    <w:rsid w:val="003179A2"/>
    <w:rsid w:val="00317F3D"/>
    <w:rsid w:val="003210A7"/>
    <w:rsid w:val="00321DE3"/>
    <w:rsid w:val="003227B6"/>
    <w:rsid w:val="00322E95"/>
    <w:rsid w:val="00324922"/>
    <w:rsid w:val="00324C3E"/>
    <w:rsid w:val="00325347"/>
    <w:rsid w:val="0032657E"/>
    <w:rsid w:val="0032681D"/>
    <w:rsid w:val="00326D49"/>
    <w:rsid w:val="003271E8"/>
    <w:rsid w:val="003275FD"/>
    <w:rsid w:val="00327D3A"/>
    <w:rsid w:val="00327FD9"/>
    <w:rsid w:val="00330960"/>
    <w:rsid w:val="00330AEF"/>
    <w:rsid w:val="00330C12"/>
    <w:rsid w:val="00331070"/>
    <w:rsid w:val="00331247"/>
    <w:rsid w:val="00331EC1"/>
    <w:rsid w:val="0033235F"/>
    <w:rsid w:val="003328E5"/>
    <w:rsid w:val="0033290D"/>
    <w:rsid w:val="00332E2A"/>
    <w:rsid w:val="00333EE0"/>
    <w:rsid w:val="003344FE"/>
    <w:rsid w:val="0033484F"/>
    <w:rsid w:val="00334DE7"/>
    <w:rsid w:val="003350D7"/>
    <w:rsid w:val="0033521A"/>
    <w:rsid w:val="0033541E"/>
    <w:rsid w:val="003359BB"/>
    <w:rsid w:val="00335A65"/>
    <w:rsid w:val="00336822"/>
    <w:rsid w:val="00336928"/>
    <w:rsid w:val="00336B6B"/>
    <w:rsid w:val="00337CCF"/>
    <w:rsid w:val="00340A33"/>
    <w:rsid w:val="0034101B"/>
    <w:rsid w:val="0034105C"/>
    <w:rsid w:val="00341146"/>
    <w:rsid w:val="0034132A"/>
    <w:rsid w:val="0034177B"/>
    <w:rsid w:val="0034243C"/>
    <w:rsid w:val="003431D9"/>
    <w:rsid w:val="00343262"/>
    <w:rsid w:val="003432BC"/>
    <w:rsid w:val="0034354F"/>
    <w:rsid w:val="00343AE3"/>
    <w:rsid w:val="00344876"/>
    <w:rsid w:val="003450BE"/>
    <w:rsid w:val="00346887"/>
    <w:rsid w:val="00346A89"/>
    <w:rsid w:val="00346C17"/>
    <w:rsid w:val="00346F44"/>
    <w:rsid w:val="00346F63"/>
    <w:rsid w:val="00346F77"/>
    <w:rsid w:val="00347622"/>
    <w:rsid w:val="0034765B"/>
    <w:rsid w:val="0034799C"/>
    <w:rsid w:val="00350674"/>
    <w:rsid w:val="00350CE8"/>
    <w:rsid w:val="0035230D"/>
    <w:rsid w:val="003524C9"/>
    <w:rsid w:val="003528E0"/>
    <w:rsid w:val="00352ABE"/>
    <w:rsid w:val="003533CB"/>
    <w:rsid w:val="00353EDD"/>
    <w:rsid w:val="003540E2"/>
    <w:rsid w:val="00354951"/>
    <w:rsid w:val="00354A53"/>
    <w:rsid w:val="00355812"/>
    <w:rsid w:val="003560EF"/>
    <w:rsid w:val="00356244"/>
    <w:rsid w:val="003567BC"/>
    <w:rsid w:val="003575E9"/>
    <w:rsid w:val="00357AAB"/>
    <w:rsid w:val="00360E38"/>
    <w:rsid w:val="003610A9"/>
    <w:rsid w:val="00361EA7"/>
    <w:rsid w:val="00362686"/>
    <w:rsid w:val="00362722"/>
    <w:rsid w:val="00362D50"/>
    <w:rsid w:val="003642AA"/>
    <w:rsid w:val="003647E4"/>
    <w:rsid w:val="00364B2A"/>
    <w:rsid w:val="00365580"/>
    <w:rsid w:val="0036596F"/>
    <w:rsid w:val="00365995"/>
    <w:rsid w:val="00365AE5"/>
    <w:rsid w:val="00367EF7"/>
    <w:rsid w:val="0037049A"/>
    <w:rsid w:val="003708C9"/>
    <w:rsid w:val="00370C2E"/>
    <w:rsid w:val="00370CE9"/>
    <w:rsid w:val="0037102D"/>
    <w:rsid w:val="003720D6"/>
    <w:rsid w:val="003722ED"/>
    <w:rsid w:val="00372493"/>
    <w:rsid w:val="00372512"/>
    <w:rsid w:val="00372758"/>
    <w:rsid w:val="00372F0A"/>
    <w:rsid w:val="00372F99"/>
    <w:rsid w:val="003740BB"/>
    <w:rsid w:val="003746A9"/>
    <w:rsid w:val="003746E8"/>
    <w:rsid w:val="003748E3"/>
    <w:rsid w:val="0037507F"/>
    <w:rsid w:val="00375091"/>
    <w:rsid w:val="0037541F"/>
    <w:rsid w:val="00376C4C"/>
    <w:rsid w:val="0037783E"/>
    <w:rsid w:val="00380006"/>
    <w:rsid w:val="00380378"/>
    <w:rsid w:val="0038044A"/>
    <w:rsid w:val="00380658"/>
    <w:rsid w:val="003808F2"/>
    <w:rsid w:val="00380F31"/>
    <w:rsid w:val="00380F42"/>
    <w:rsid w:val="00381572"/>
    <w:rsid w:val="003816B8"/>
    <w:rsid w:val="00381D57"/>
    <w:rsid w:val="003820CB"/>
    <w:rsid w:val="00383373"/>
    <w:rsid w:val="003837D2"/>
    <w:rsid w:val="00383B31"/>
    <w:rsid w:val="003841FA"/>
    <w:rsid w:val="00384280"/>
    <w:rsid w:val="00384DF6"/>
    <w:rsid w:val="00385838"/>
    <w:rsid w:val="003864FF"/>
    <w:rsid w:val="0038670D"/>
    <w:rsid w:val="003868F3"/>
    <w:rsid w:val="00386C24"/>
    <w:rsid w:val="0038705F"/>
    <w:rsid w:val="003872C0"/>
    <w:rsid w:val="00387712"/>
    <w:rsid w:val="003877F5"/>
    <w:rsid w:val="00390013"/>
    <w:rsid w:val="0039004E"/>
    <w:rsid w:val="003902D6"/>
    <w:rsid w:val="00390569"/>
    <w:rsid w:val="00390F1C"/>
    <w:rsid w:val="00391755"/>
    <w:rsid w:val="003923A8"/>
    <w:rsid w:val="00393004"/>
    <w:rsid w:val="00393B5E"/>
    <w:rsid w:val="003943AD"/>
    <w:rsid w:val="00394D43"/>
    <w:rsid w:val="0039562A"/>
    <w:rsid w:val="003957A6"/>
    <w:rsid w:val="003969D2"/>
    <w:rsid w:val="00396E7D"/>
    <w:rsid w:val="00396FC8"/>
    <w:rsid w:val="00397000"/>
    <w:rsid w:val="00397774"/>
    <w:rsid w:val="00397F37"/>
    <w:rsid w:val="003A06A5"/>
    <w:rsid w:val="003A0ADE"/>
    <w:rsid w:val="003A1171"/>
    <w:rsid w:val="003A14FB"/>
    <w:rsid w:val="003A1650"/>
    <w:rsid w:val="003A2226"/>
    <w:rsid w:val="003A2518"/>
    <w:rsid w:val="003A2671"/>
    <w:rsid w:val="003A2DB0"/>
    <w:rsid w:val="003A3228"/>
    <w:rsid w:val="003A347D"/>
    <w:rsid w:val="003A3634"/>
    <w:rsid w:val="003A37C7"/>
    <w:rsid w:val="003A3EA8"/>
    <w:rsid w:val="003A424D"/>
    <w:rsid w:val="003A42CD"/>
    <w:rsid w:val="003A45AA"/>
    <w:rsid w:val="003A4D24"/>
    <w:rsid w:val="003A4E7F"/>
    <w:rsid w:val="003A503B"/>
    <w:rsid w:val="003A5CAC"/>
    <w:rsid w:val="003A616C"/>
    <w:rsid w:val="003A6342"/>
    <w:rsid w:val="003A718C"/>
    <w:rsid w:val="003A74ED"/>
    <w:rsid w:val="003B055B"/>
    <w:rsid w:val="003B070B"/>
    <w:rsid w:val="003B1109"/>
    <w:rsid w:val="003B19FB"/>
    <w:rsid w:val="003B1BBD"/>
    <w:rsid w:val="003B24E8"/>
    <w:rsid w:val="003B297D"/>
    <w:rsid w:val="003B2C12"/>
    <w:rsid w:val="003B358B"/>
    <w:rsid w:val="003B3D7C"/>
    <w:rsid w:val="003B4467"/>
    <w:rsid w:val="003B472A"/>
    <w:rsid w:val="003B4CF3"/>
    <w:rsid w:val="003B4E4F"/>
    <w:rsid w:val="003B5C3B"/>
    <w:rsid w:val="003B5DB3"/>
    <w:rsid w:val="003B6B5B"/>
    <w:rsid w:val="003B7060"/>
    <w:rsid w:val="003B7475"/>
    <w:rsid w:val="003B768A"/>
    <w:rsid w:val="003B78AC"/>
    <w:rsid w:val="003B7BB5"/>
    <w:rsid w:val="003B7E83"/>
    <w:rsid w:val="003C0725"/>
    <w:rsid w:val="003C0893"/>
    <w:rsid w:val="003C0971"/>
    <w:rsid w:val="003C14B3"/>
    <w:rsid w:val="003C16F4"/>
    <w:rsid w:val="003C1788"/>
    <w:rsid w:val="003C1DDC"/>
    <w:rsid w:val="003C1EE6"/>
    <w:rsid w:val="003C20C7"/>
    <w:rsid w:val="003C29A6"/>
    <w:rsid w:val="003C3243"/>
    <w:rsid w:val="003C351A"/>
    <w:rsid w:val="003C4058"/>
    <w:rsid w:val="003C42C2"/>
    <w:rsid w:val="003C4BA4"/>
    <w:rsid w:val="003C4FCD"/>
    <w:rsid w:val="003C5783"/>
    <w:rsid w:val="003C57E3"/>
    <w:rsid w:val="003C5A36"/>
    <w:rsid w:val="003C6218"/>
    <w:rsid w:val="003C649B"/>
    <w:rsid w:val="003C6763"/>
    <w:rsid w:val="003C71E1"/>
    <w:rsid w:val="003C7C4E"/>
    <w:rsid w:val="003D0652"/>
    <w:rsid w:val="003D1BC9"/>
    <w:rsid w:val="003D1C00"/>
    <w:rsid w:val="003D1E12"/>
    <w:rsid w:val="003D254A"/>
    <w:rsid w:val="003D3A7E"/>
    <w:rsid w:val="003D3E49"/>
    <w:rsid w:val="003D4A6E"/>
    <w:rsid w:val="003D5C14"/>
    <w:rsid w:val="003D5CD9"/>
    <w:rsid w:val="003D6535"/>
    <w:rsid w:val="003D6603"/>
    <w:rsid w:val="003D6F8D"/>
    <w:rsid w:val="003D733E"/>
    <w:rsid w:val="003D7E34"/>
    <w:rsid w:val="003E000B"/>
    <w:rsid w:val="003E0A25"/>
    <w:rsid w:val="003E1B4A"/>
    <w:rsid w:val="003E220F"/>
    <w:rsid w:val="003E227D"/>
    <w:rsid w:val="003E2A7F"/>
    <w:rsid w:val="003E2BAB"/>
    <w:rsid w:val="003E3083"/>
    <w:rsid w:val="003E33D7"/>
    <w:rsid w:val="003E411E"/>
    <w:rsid w:val="003E4DBE"/>
    <w:rsid w:val="003E587B"/>
    <w:rsid w:val="003E6319"/>
    <w:rsid w:val="003E6362"/>
    <w:rsid w:val="003E657F"/>
    <w:rsid w:val="003E72E8"/>
    <w:rsid w:val="003E72FA"/>
    <w:rsid w:val="003E7556"/>
    <w:rsid w:val="003E7680"/>
    <w:rsid w:val="003E7BF5"/>
    <w:rsid w:val="003E7C8E"/>
    <w:rsid w:val="003E7DEA"/>
    <w:rsid w:val="003F0104"/>
    <w:rsid w:val="003F0240"/>
    <w:rsid w:val="003F069D"/>
    <w:rsid w:val="003F1AFB"/>
    <w:rsid w:val="003F1BBE"/>
    <w:rsid w:val="003F2742"/>
    <w:rsid w:val="003F27ED"/>
    <w:rsid w:val="003F2902"/>
    <w:rsid w:val="003F323C"/>
    <w:rsid w:val="003F3587"/>
    <w:rsid w:val="003F4330"/>
    <w:rsid w:val="003F58FE"/>
    <w:rsid w:val="003F5B14"/>
    <w:rsid w:val="003F5E35"/>
    <w:rsid w:val="003F5E9F"/>
    <w:rsid w:val="003F63A9"/>
    <w:rsid w:val="003F761B"/>
    <w:rsid w:val="003F76D6"/>
    <w:rsid w:val="003F7C39"/>
    <w:rsid w:val="004001A4"/>
    <w:rsid w:val="00401512"/>
    <w:rsid w:val="00401520"/>
    <w:rsid w:val="00401F99"/>
    <w:rsid w:val="00401FA1"/>
    <w:rsid w:val="00402D60"/>
    <w:rsid w:val="004038AE"/>
    <w:rsid w:val="00403C6B"/>
    <w:rsid w:val="004047AA"/>
    <w:rsid w:val="00404E2C"/>
    <w:rsid w:val="0040544B"/>
    <w:rsid w:val="00406071"/>
    <w:rsid w:val="00406A79"/>
    <w:rsid w:val="00406D96"/>
    <w:rsid w:val="00407674"/>
    <w:rsid w:val="00410688"/>
    <w:rsid w:val="004109C5"/>
    <w:rsid w:val="00410C34"/>
    <w:rsid w:val="00410ECB"/>
    <w:rsid w:val="00411387"/>
    <w:rsid w:val="00411497"/>
    <w:rsid w:val="0041164A"/>
    <w:rsid w:val="00411EA7"/>
    <w:rsid w:val="00413291"/>
    <w:rsid w:val="00413D4B"/>
    <w:rsid w:val="00413E1A"/>
    <w:rsid w:val="004141E6"/>
    <w:rsid w:val="00414545"/>
    <w:rsid w:val="00414C45"/>
    <w:rsid w:val="00414E80"/>
    <w:rsid w:val="00415605"/>
    <w:rsid w:val="00415DE4"/>
    <w:rsid w:val="0041681C"/>
    <w:rsid w:val="00416F8C"/>
    <w:rsid w:val="004200C0"/>
    <w:rsid w:val="004200F8"/>
    <w:rsid w:val="004209D5"/>
    <w:rsid w:val="00421730"/>
    <w:rsid w:val="00421D12"/>
    <w:rsid w:val="004239A9"/>
    <w:rsid w:val="004239BA"/>
    <w:rsid w:val="004241C7"/>
    <w:rsid w:val="00424278"/>
    <w:rsid w:val="0042490F"/>
    <w:rsid w:val="004249E3"/>
    <w:rsid w:val="00424A1F"/>
    <w:rsid w:val="0042504C"/>
    <w:rsid w:val="004253C9"/>
    <w:rsid w:val="004258D6"/>
    <w:rsid w:val="00425AC3"/>
    <w:rsid w:val="004262C4"/>
    <w:rsid w:val="0042651E"/>
    <w:rsid w:val="004265FB"/>
    <w:rsid w:val="0042666A"/>
    <w:rsid w:val="004269ED"/>
    <w:rsid w:val="00427A94"/>
    <w:rsid w:val="00427E05"/>
    <w:rsid w:val="00430039"/>
    <w:rsid w:val="0043029C"/>
    <w:rsid w:val="00430E76"/>
    <w:rsid w:val="00431A8F"/>
    <w:rsid w:val="0043279A"/>
    <w:rsid w:val="00432DD9"/>
    <w:rsid w:val="00433521"/>
    <w:rsid w:val="004337C2"/>
    <w:rsid w:val="00434432"/>
    <w:rsid w:val="00434871"/>
    <w:rsid w:val="00434BDB"/>
    <w:rsid w:val="00434FF4"/>
    <w:rsid w:val="00435568"/>
    <w:rsid w:val="00435B83"/>
    <w:rsid w:val="00435E93"/>
    <w:rsid w:val="0043631B"/>
    <w:rsid w:val="00436817"/>
    <w:rsid w:val="0043686B"/>
    <w:rsid w:val="0043693B"/>
    <w:rsid w:val="00437772"/>
    <w:rsid w:val="00437B10"/>
    <w:rsid w:val="004400CF"/>
    <w:rsid w:val="004402C9"/>
    <w:rsid w:val="004403DE"/>
    <w:rsid w:val="004405A9"/>
    <w:rsid w:val="00440DCE"/>
    <w:rsid w:val="00440FC6"/>
    <w:rsid w:val="0044104E"/>
    <w:rsid w:val="00441C3A"/>
    <w:rsid w:val="0044208D"/>
    <w:rsid w:val="004421A0"/>
    <w:rsid w:val="00442580"/>
    <w:rsid w:val="00442901"/>
    <w:rsid w:val="004434ED"/>
    <w:rsid w:val="00443837"/>
    <w:rsid w:val="00443AD4"/>
    <w:rsid w:val="00443F8B"/>
    <w:rsid w:val="00444637"/>
    <w:rsid w:val="00444A45"/>
    <w:rsid w:val="00444CF2"/>
    <w:rsid w:val="00445754"/>
    <w:rsid w:val="00445898"/>
    <w:rsid w:val="00447032"/>
    <w:rsid w:val="004472E9"/>
    <w:rsid w:val="0044774E"/>
    <w:rsid w:val="00447955"/>
    <w:rsid w:val="00450621"/>
    <w:rsid w:val="00450F0F"/>
    <w:rsid w:val="004510C5"/>
    <w:rsid w:val="004512E5"/>
    <w:rsid w:val="00451B3C"/>
    <w:rsid w:val="00451F3B"/>
    <w:rsid w:val="00452743"/>
    <w:rsid w:val="004527C0"/>
    <w:rsid w:val="00452BB9"/>
    <w:rsid w:val="00452BF6"/>
    <w:rsid w:val="004532A0"/>
    <w:rsid w:val="004534BC"/>
    <w:rsid w:val="00453DC7"/>
    <w:rsid w:val="0045458C"/>
    <w:rsid w:val="00454D06"/>
    <w:rsid w:val="004556EB"/>
    <w:rsid w:val="00455768"/>
    <w:rsid w:val="00455E05"/>
    <w:rsid w:val="00456091"/>
    <w:rsid w:val="00456209"/>
    <w:rsid w:val="004562C6"/>
    <w:rsid w:val="004563F4"/>
    <w:rsid w:val="004566C8"/>
    <w:rsid w:val="00457A2B"/>
    <w:rsid w:val="004604C7"/>
    <w:rsid w:val="004611AF"/>
    <w:rsid w:val="004617F4"/>
    <w:rsid w:val="00461CD1"/>
    <w:rsid w:val="00461F46"/>
    <w:rsid w:val="0046245F"/>
    <w:rsid w:val="00462CD5"/>
    <w:rsid w:val="00462CE5"/>
    <w:rsid w:val="00462E0B"/>
    <w:rsid w:val="0046316E"/>
    <w:rsid w:val="004631CA"/>
    <w:rsid w:val="00463444"/>
    <w:rsid w:val="00464E3D"/>
    <w:rsid w:val="00465346"/>
    <w:rsid w:val="00465978"/>
    <w:rsid w:val="00465E34"/>
    <w:rsid w:val="004663A3"/>
    <w:rsid w:val="00466E13"/>
    <w:rsid w:val="00466F11"/>
    <w:rsid w:val="00467211"/>
    <w:rsid w:val="0046754A"/>
    <w:rsid w:val="00467CEA"/>
    <w:rsid w:val="00467DE0"/>
    <w:rsid w:val="00467DEE"/>
    <w:rsid w:val="00467E5A"/>
    <w:rsid w:val="0047065D"/>
    <w:rsid w:val="00471441"/>
    <w:rsid w:val="00471E37"/>
    <w:rsid w:val="00472141"/>
    <w:rsid w:val="00472250"/>
    <w:rsid w:val="004723A6"/>
    <w:rsid w:val="004729E9"/>
    <w:rsid w:val="00472D04"/>
    <w:rsid w:val="00472E24"/>
    <w:rsid w:val="00472EA4"/>
    <w:rsid w:val="004730BB"/>
    <w:rsid w:val="004730D7"/>
    <w:rsid w:val="004731B7"/>
    <w:rsid w:val="00473C10"/>
    <w:rsid w:val="0047462E"/>
    <w:rsid w:val="00474AFD"/>
    <w:rsid w:val="00474D93"/>
    <w:rsid w:val="004753A5"/>
    <w:rsid w:val="00475999"/>
    <w:rsid w:val="00475BFD"/>
    <w:rsid w:val="00475E1A"/>
    <w:rsid w:val="00476BCE"/>
    <w:rsid w:val="00477152"/>
    <w:rsid w:val="00477291"/>
    <w:rsid w:val="0047782C"/>
    <w:rsid w:val="00477BC9"/>
    <w:rsid w:val="00477DF2"/>
    <w:rsid w:val="00477E75"/>
    <w:rsid w:val="00480DED"/>
    <w:rsid w:val="00480E1F"/>
    <w:rsid w:val="00481B4A"/>
    <w:rsid w:val="00481B83"/>
    <w:rsid w:val="0048258E"/>
    <w:rsid w:val="00482981"/>
    <w:rsid w:val="00482A44"/>
    <w:rsid w:val="00483243"/>
    <w:rsid w:val="004835FE"/>
    <w:rsid w:val="00483ED4"/>
    <w:rsid w:val="00484189"/>
    <w:rsid w:val="004842DA"/>
    <w:rsid w:val="00485DA8"/>
    <w:rsid w:val="00485E36"/>
    <w:rsid w:val="004866C0"/>
    <w:rsid w:val="00486A01"/>
    <w:rsid w:val="00486B6B"/>
    <w:rsid w:val="00486D24"/>
    <w:rsid w:val="004878F3"/>
    <w:rsid w:val="00487A31"/>
    <w:rsid w:val="00487FCE"/>
    <w:rsid w:val="0049067A"/>
    <w:rsid w:val="00490827"/>
    <w:rsid w:val="00490B18"/>
    <w:rsid w:val="0049138D"/>
    <w:rsid w:val="00491539"/>
    <w:rsid w:val="0049189E"/>
    <w:rsid w:val="004919FB"/>
    <w:rsid w:val="004920FD"/>
    <w:rsid w:val="00492701"/>
    <w:rsid w:val="0049383F"/>
    <w:rsid w:val="004939C4"/>
    <w:rsid w:val="00493ABA"/>
    <w:rsid w:val="0049424F"/>
    <w:rsid w:val="00494328"/>
    <w:rsid w:val="00494868"/>
    <w:rsid w:val="00494A8D"/>
    <w:rsid w:val="0049507E"/>
    <w:rsid w:val="0049558B"/>
    <w:rsid w:val="00495C61"/>
    <w:rsid w:val="00495D16"/>
    <w:rsid w:val="00496982"/>
    <w:rsid w:val="0049702D"/>
    <w:rsid w:val="00497586"/>
    <w:rsid w:val="00497C64"/>
    <w:rsid w:val="004A0497"/>
    <w:rsid w:val="004A05B9"/>
    <w:rsid w:val="004A09A0"/>
    <w:rsid w:val="004A1604"/>
    <w:rsid w:val="004A1BEA"/>
    <w:rsid w:val="004A1C53"/>
    <w:rsid w:val="004A1D0D"/>
    <w:rsid w:val="004A29FA"/>
    <w:rsid w:val="004A2B15"/>
    <w:rsid w:val="004A4552"/>
    <w:rsid w:val="004A4A88"/>
    <w:rsid w:val="004A5C9E"/>
    <w:rsid w:val="004A5F64"/>
    <w:rsid w:val="004A6023"/>
    <w:rsid w:val="004A6550"/>
    <w:rsid w:val="004A6619"/>
    <w:rsid w:val="004A7AB8"/>
    <w:rsid w:val="004B032D"/>
    <w:rsid w:val="004B1241"/>
    <w:rsid w:val="004B138B"/>
    <w:rsid w:val="004B211B"/>
    <w:rsid w:val="004B27ED"/>
    <w:rsid w:val="004B33A8"/>
    <w:rsid w:val="004B396E"/>
    <w:rsid w:val="004B3AB4"/>
    <w:rsid w:val="004B44DA"/>
    <w:rsid w:val="004B4823"/>
    <w:rsid w:val="004B56DD"/>
    <w:rsid w:val="004B5EBA"/>
    <w:rsid w:val="004B6014"/>
    <w:rsid w:val="004B682A"/>
    <w:rsid w:val="004B6C32"/>
    <w:rsid w:val="004B6C82"/>
    <w:rsid w:val="004B7774"/>
    <w:rsid w:val="004C0FA9"/>
    <w:rsid w:val="004C1664"/>
    <w:rsid w:val="004C1BF9"/>
    <w:rsid w:val="004C20DC"/>
    <w:rsid w:val="004C25E6"/>
    <w:rsid w:val="004C2734"/>
    <w:rsid w:val="004C31AE"/>
    <w:rsid w:val="004C3E99"/>
    <w:rsid w:val="004C4FBB"/>
    <w:rsid w:val="004C57AD"/>
    <w:rsid w:val="004C586D"/>
    <w:rsid w:val="004C62BA"/>
    <w:rsid w:val="004C6CCD"/>
    <w:rsid w:val="004C70B0"/>
    <w:rsid w:val="004C7401"/>
    <w:rsid w:val="004C793C"/>
    <w:rsid w:val="004C7BEF"/>
    <w:rsid w:val="004C7CC3"/>
    <w:rsid w:val="004D0E4A"/>
    <w:rsid w:val="004D1A25"/>
    <w:rsid w:val="004D1EA0"/>
    <w:rsid w:val="004D22DE"/>
    <w:rsid w:val="004D243D"/>
    <w:rsid w:val="004D2C7C"/>
    <w:rsid w:val="004D3B9D"/>
    <w:rsid w:val="004D40F2"/>
    <w:rsid w:val="004D412C"/>
    <w:rsid w:val="004D43BB"/>
    <w:rsid w:val="004D53BC"/>
    <w:rsid w:val="004D6169"/>
    <w:rsid w:val="004D6191"/>
    <w:rsid w:val="004D61DF"/>
    <w:rsid w:val="004D71E7"/>
    <w:rsid w:val="004D775D"/>
    <w:rsid w:val="004D7DF9"/>
    <w:rsid w:val="004E0305"/>
    <w:rsid w:val="004E0628"/>
    <w:rsid w:val="004E06D5"/>
    <w:rsid w:val="004E1274"/>
    <w:rsid w:val="004E12F1"/>
    <w:rsid w:val="004E149D"/>
    <w:rsid w:val="004E1981"/>
    <w:rsid w:val="004E1DC7"/>
    <w:rsid w:val="004E2249"/>
    <w:rsid w:val="004E288B"/>
    <w:rsid w:val="004E2D14"/>
    <w:rsid w:val="004E30FB"/>
    <w:rsid w:val="004E3122"/>
    <w:rsid w:val="004E3A6D"/>
    <w:rsid w:val="004E40DB"/>
    <w:rsid w:val="004E4443"/>
    <w:rsid w:val="004E4481"/>
    <w:rsid w:val="004E44F4"/>
    <w:rsid w:val="004E521B"/>
    <w:rsid w:val="004E5497"/>
    <w:rsid w:val="004E5CD9"/>
    <w:rsid w:val="004E60F8"/>
    <w:rsid w:val="004E6397"/>
    <w:rsid w:val="004F02BE"/>
    <w:rsid w:val="004F02C5"/>
    <w:rsid w:val="004F0835"/>
    <w:rsid w:val="004F0E5A"/>
    <w:rsid w:val="004F1A92"/>
    <w:rsid w:val="004F1C9F"/>
    <w:rsid w:val="004F1E59"/>
    <w:rsid w:val="004F217E"/>
    <w:rsid w:val="004F24DB"/>
    <w:rsid w:val="004F28FF"/>
    <w:rsid w:val="004F2C74"/>
    <w:rsid w:val="004F33EC"/>
    <w:rsid w:val="004F3854"/>
    <w:rsid w:val="004F3E96"/>
    <w:rsid w:val="004F3EA3"/>
    <w:rsid w:val="004F4942"/>
    <w:rsid w:val="004F6317"/>
    <w:rsid w:val="004F64F0"/>
    <w:rsid w:val="004F66E5"/>
    <w:rsid w:val="004F7025"/>
    <w:rsid w:val="004F7584"/>
    <w:rsid w:val="004F764F"/>
    <w:rsid w:val="00500003"/>
    <w:rsid w:val="0050014D"/>
    <w:rsid w:val="00500354"/>
    <w:rsid w:val="0050070D"/>
    <w:rsid w:val="005014C5"/>
    <w:rsid w:val="00501E08"/>
    <w:rsid w:val="00501F72"/>
    <w:rsid w:val="00502325"/>
    <w:rsid w:val="0050253B"/>
    <w:rsid w:val="0050273D"/>
    <w:rsid w:val="005030DA"/>
    <w:rsid w:val="005047DB"/>
    <w:rsid w:val="00504BFB"/>
    <w:rsid w:val="00505E29"/>
    <w:rsid w:val="005064CB"/>
    <w:rsid w:val="005071FE"/>
    <w:rsid w:val="0050752F"/>
    <w:rsid w:val="005078A1"/>
    <w:rsid w:val="0051002C"/>
    <w:rsid w:val="00510A4E"/>
    <w:rsid w:val="00510A52"/>
    <w:rsid w:val="00510A62"/>
    <w:rsid w:val="00510FF3"/>
    <w:rsid w:val="00511248"/>
    <w:rsid w:val="00511774"/>
    <w:rsid w:val="005117CD"/>
    <w:rsid w:val="00511BCF"/>
    <w:rsid w:val="00512034"/>
    <w:rsid w:val="005121E6"/>
    <w:rsid w:val="00512417"/>
    <w:rsid w:val="00512775"/>
    <w:rsid w:val="0051323C"/>
    <w:rsid w:val="005136A3"/>
    <w:rsid w:val="00513733"/>
    <w:rsid w:val="005139B8"/>
    <w:rsid w:val="00513B1B"/>
    <w:rsid w:val="00514E8F"/>
    <w:rsid w:val="00515495"/>
    <w:rsid w:val="0051564A"/>
    <w:rsid w:val="005156B9"/>
    <w:rsid w:val="00515959"/>
    <w:rsid w:val="00515EDF"/>
    <w:rsid w:val="00516872"/>
    <w:rsid w:val="00516A2C"/>
    <w:rsid w:val="00516AD7"/>
    <w:rsid w:val="0051716F"/>
    <w:rsid w:val="00517529"/>
    <w:rsid w:val="00517FA7"/>
    <w:rsid w:val="00520B90"/>
    <w:rsid w:val="00521325"/>
    <w:rsid w:val="00522F51"/>
    <w:rsid w:val="00522FC5"/>
    <w:rsid w:val="00523500"/>
    <w:rsid w:val="00523513"/>
    <w:rsid w:val="00523E2A"/>
    <w:rsid w:val="00524DC6"/>
    <w:rsid w:val="00524E3E"/>
    <w:rsid w:val="005251F8"/>
    <w:rsid w:val="00525478"/>
    <w:rsid w:val="005255E0"/>
    <w:rsid w:val="0052599C"/>
    <w:rsid w:val="00525E0C"/>
    <w:rsid w:val="00526814"/>
    <w:rsid w:val="00526836"/>
    <w:rsid w:val="00526887"/>
    <w:rsid w:val="00526A9F"/>
    <w:rsid w:val="00526ABB"/>
    <w:rsid w:val="005271C5"/>
    <w:rsid w:val="00527453"/>
    <w:rsid w:val="005275A4"/>
    <w:rsid w:val="00530A7E"/>
    <w:rsid w:val="00530F40"/>
    <w:rsid w:val="00531847"/>
    <w:rsid w:val="00532108"/>
    <w:rsid w:val="005336B9"/>
    <w:rsid w:val="005339AB"/>
    <w:rsid w:val="00533A81"/>
    <w:rsid w:val="00533F9C"/>
    <w:rsid w:val="00534EF3"/>
    <w:rsid w:val="0053510C"/>
    <w:rsid w:val="00535696"/>
    <w:rsid w:val="00535F98"/>
    <w:rsid w:val="00536147"/>
    <w:rsid w:val="0053703C"/>
    <w:rsid w:val="00537122"/>
    <w:rsid w:val="0053757B"/>
    <w:rsid w:val="00537708"/>
    <w:rsid w:val="00537BDC"/>
    <w:rsid w:val="00537EE3"/>
    <w:rsid w:val="00540637"/>
    <w:rsid w:val="00540A80"/>
    <w:rsid w:val="00540AD3"/>
    <w:rsid w:val="005414BE"/>
    <w:rsid w:val="00541620"/>
    <w:rsid w:val="00541907"/>
    <w:rsid w:val="00541954"/>
    <w:rsid w:val="005425E1"/>
    <w:rsid w:val="005428C1"/>
    <w:rsid w:val="00542B21"/>
    <w:rsid w:val="00542B69"/>
    <w:rsid w:val="00543163"/>
    <w:rsid w:val="005434B1"/>
    <w:rsid w:val="00543912"/>
    <w:rsid w:val="00543D1D"/>
    <w:rsid w:val="00544DBF"/>
    <w:rsid w:val="00545290"/>
    <w:rsid w:val="005458C4"/>
    <w:rsid w:val="00545AF1"/>
    <w:rsid w:val="00545D2A"/>
    <w:rsid w:val="0054615F"/>
    <w:rsid w:val="0054643B"/>
    <w:rsid w:val="0054651E"/>
    <w:rsid w:val="00546D6E"/>
    <w:rsid w:val="00547CCF"/>
    <w:rsid w:val="00550558"/>
    <w:rsid w:val="005508D1"/>
    <w:rsid w:val="005509D6"/>
    <w:rsid w:val="00551B73"/>
    <w:rsid w:val="00551FCD"/>
    <w:rsid w:val="0055227D"/>
    <w:rsid w:val="0055284B"/>
    <w:rsid w:val="005538CC"/>
    <w:rsid w:val="0055420B"/>
    <w:rsid w:val="00555205"/>
    <w:rsid w:val="00555BE4"/>
    <w:rsid w:val="005568C3"/>
    <w:rsid w:val="00556921"/>
    <w:rsid w:val="00556C35"/>
    <w:rsid w:val="00556F5C"/>
    <w:rsid w:val="00556F6A"/>
    <w:rsid w:val="005572EA"/>
    <w:rsid w:val="0055765B"/>
    <w:rsid w:val="00557CB2"/>
    <w:rsid w:val="00560737"/>
    <w:rsid w:val="00560F68"/>
    <w:rsid w:val="005613E7"/>
    <w:rsid w:val="005616BE"/>
    <w:rsid w:val="00561DC7"/>
    <w:rsid w:val="0056238F"/>
    <w:rsid w:val="005623BA"/>
    <w:rsid w:val="005623E1"/>
    <w:rsid w:val="00562592"/>
    <w:rsid w:val="0056283F"/>
    <w:rsid w:val="00562CC0"/>
    <w:rsid w:val="00562CD4"/>
    <w:rsid w:val="00564380"/>
    <w:rsid w:val="005644E3"/>
    <w:rsid w:val="00564FB3"/>
    <w:rsid w:val="0056549C"/>
    <w:rsid w:val="00565A94"/>
    <w:rsid w:val="00565CFF"/>
    <w:rsid w:val="00565D42"/>
    <w:rsid w:val="0056603D"/>
    <w:rsid w:val="005661B7"/>
    <w:rsid w:val="0056637D"/>
    <w:rsid w:val="00566A30"/>
    <w:rsid w:val="005679C7"/>
    <w:rsid w:val="00567CF5"/>
    <w:rsid w:val="00567ED1"/>
    <w:rsid w:val="00570CB5"/>
    <w:rsid w:val="00571945"/>
    <w:rsid w:val="00571C47"/>
    <w:rsid w:val="00571D6E"/>
    <w:rsid w:val="005722EC"/>
    <w:rsid w:val="00572311"/>
    <w:rsid w:val="0057255F"/>
    <w:rsid w:val="00572AC3"/>
    <w:rsid w:val="00572E1D"/>
    <w:rsid w:val="00573A5C"/>
    <w:rsid w:val="005745B4"/>
    <w:rsid w:val="00574722"/>
    <w:rsid w:val="00575876"/>
    <w:rsid w:val="0057599E"/>
    <w:rsid w:val="00575E7B"/>
    <w:rsid w:val="005772C8"/>
    <w:rsid w:val="00577AD1"/>
    <w:rsid w:val="00577B5A"/>
    <w:rsid w:val="0058027E"/>
    <w:rsid w:val="0058067F"/>
    <w:rsid w:val="005806E9"/>
    <w:rsid w:val="005808E0"/>
    <w:rsid w:val="0058102E"/>
    <w:rsid w:val="005836FA"/>
    <w:rsid w:val="00583D41"/>
    <w:rsid w:val="00584040"/>
    <w:rsid w:val="005843B2"/>
    <w:rsid w:val="005847FA"/>
    <w:rsid w:val="005854A6"/>
    <w:rsid w:val="0058587B"/>
    <w:rsid w:val="005868ED"/>
    <w:rsid w:val="0059008E"/>
    <w:rsid w:val="0059011A"/>
    <w:rsid w:val="005902BA"/>
    <w:rsid w:val="00590789"/>
    <w:rsid w:val="00590A22"/>
    <w:rsid w:val="00591176"/>
    <w:rsid w:val="00591200"/>
    <w:rsid w:val="00591C46"/>
    <w:rsid w:val="00592026"/>
    <w:rsid w:val="005927F9"/>
    <w:rsid w:val="00593318"/>
    <w:rsid w:val="00593BF4"/>
    <w:rsid w:val="00593CB5"/>
    <w:rsid w:val="00593F94"/>
    <w:rsid w:val="0059418D"/>
    <w:rsid w:val="00594558"/>
    <w:rsid w:val="00594653"/>
    <w:rsid w:val="00595963"/>
    <w:rsid w:val="00595BC2"/>
    <w:rsid w:val="00595F30"/>
    <w:rsid w:val="00596D4B"/>
    <w:rsid w:val="00597886"/>
    <w:rsid w:val="00597937"/>
    <w:rsid w:val="00597980"/>
    <w:rsid w:val="00597A2C"/>
    <w:rsid w:val="005A0FC8"/>
    <w:rsid w:val="005A1925"/>
    <w:rsid w:val="005A2191"/>
    <w:rsid w:val="005A26DB"/>
    <w:rsid w:val="005A2D84"/>
    <w:rsid w:val="005A3B05"/>
    <w:rsid w:val="005A3F8A"/>
    <w:rsid w:val="005A44BE"/>
    <w:rsid w:val="005A4B7A"/>
    <w:rsid w:val="005A4CC5"/>
    <w:rsid w:val="005A567D"/>
    <w:rsid w:val="005A5B8E"/>
    <w:rsid w:val="005A5D60"/>
    <w:rsid w:val="005A70A7"/>
    <w:rsid w:val="005A73E0"/>
    <w:rsid w:val="005A7B85"/>
    <w:rsid w:val="005B0529"/>
    <w:rsid w:val="005B06F4"/>
    <w:rsid w:val="005B0810"/>
    <w:rsid w:val="005B0BE7"/>
    <w:rsid w:val="005B0FAF"/>
    <w:rsid w:val="005B129E"/>
    <w:rsid w:val="005B1552"/>
    <w:rsid w:val="005B210F"/>
    <w:rsid w:val="005B23EC"/>
    <w:rsid w:val="005B254A"/>
    <w:rsid w:val="005B263E"/>
    <w:rsid w:val="005B2641"/>
    <w:rsid w:val="005B26EB"/>
    <w:rsid w:val="005B2820"/>
    <w:rsid w:val="005B29E6"/>
    <w:rsid w:val="005B2ECF"/>
    <w:rsid w:val="005B37EF"/>
    <w:rsid w:val="005B3924"/>
    <w:rsid w:val="005B3D5B"/>
    <w:rsid w:val="005B4767"/>
    <w:rsid w:val="005B4894"/>
    <w:rsid w:val="005B55EA"/>
    <w:rsid w:val="005B5C15"/>
    <w:rsid w:val="005B5D0D"/>
    <w:rsid w:val="005B6173"/>
    <w:rsid w:val="005B617B"/>
    <w:rsid w:val="005B66A4"/>
    <w:rsid w:val="005B673E"/>
    <w:rsid w:val="005B69B1"/>
    <w:rsid w:val="005B6E1C"/>
    <w:rsid w:val="005B7145"/>
    <w:rsid w:val="005C0086"/>
    <w:rsid w:val="005C097C"/>
    <w:rsid w:val="005C154D"/>
    <w:rsid w:val="005C2732"/>
    <w:rsid w:val="005C2EEE"/>
    <w:rsid w:val="005C311F"/>
    <w:rsid w:val="005C4002"/>
    <w:rsid w:val="005C5353"/>
    <w:rsid w:val="005C53E3"/>
    <w:rsid w:val="005C5A00"/>
    <w:rsid w:val="005C735C"/>
    <w:rsid w:val="005C75D6"/>
    <w:rsid w:val="005C7ABC"/>
    <w:rsid w:val="005D0421"/>
    <w:rsid w:val="005D0567"/>
    <w:rsid w:val="005D076A"/>
    <w:rsid w:val="005D0AF3"/>
    <w:rsid w:val="005D0BD8"/>
    <w:rsid w:val="005D0FA3"/>
    <w:rsid w:val="005D1087"/>
    <w:rsid w:val="005D167F"/>
    <w:rsid w:val="005D1E38"/>
    <w:rsid w:val="005D2099"/>
    <w:rsid w:val="005D290C"/>
    <w:rsid w:val="005D2947"/>
    <w:rsid w:val="005D29F7"/>
    <w:rsid w:val="005D40A3"/>
    <w:rsid w:val="005D49D4"/>
    <w:rsid w:val="005D4CAE"/>
    <w:rsid w:val="005D4F20"/>
    <w:rsid w:val="005D601D"/>
    <w:rsid w:val="005D678D"/>
    <w:rsid w:val="005D68F1"/>
    <w:rsid w:val="005D69A4"/>
    <w:rsid w:val="005D7112"/>
    <w:rsid w:val="005D7F42"/>
    <w:rsid w:val="005E03C9"/>
    <w:rsid w:val="005E05F6"/>
    <w:rsid w:val="005E1135"/>
    <w:rsid w:val="005E1F85"/>
    <w:rsid w:val="005E1F8E"/>
    <w:rsid w:val="005E21A6"/>
    <w:rsid w:val="005E24A7"/>
    <w:rsid w:val="005E47C2"/>
    <w:rsid w:val="005E50E2"/>
    <w:rsid w:val="005E55C6"/>
    <w:rsid w:val="005E5BA7"/>
    <w:rsid w:val="005E6FCA"/>
    <w:rsid w:val="005E71CE"/>
    <w:rsid w:val="005E7DCC"/>
    <w:rsid w:val="005F0154"/>
    <w:rsid w:val="005F064D"/>
    <w:rsid w:val="005F0E4A"/>
    <w:rsid w:val="005F1C9F"/>
    <w:rsid w:val="005F26B6"/>
    <w:rsid w:val="005F2EA1"/>
    <w:rsid w:val="005F3523"/>
    <w:rsid w:val="005F452C"/>
    <w:rsid w:val="005F45CE"/>
    <w:rsid w:val="005F46E5"/>
    <w:rsid w:val="005F4E9B"/>
    <w:rsid w:val="005F5336"/>
    <w:rsid w:val="005F5F02"/>
    <w:rsid w:val="005F65A1"/>
    <w:rsid w:val="005F697D"/>
    <w:rsid w:val="005F6D3F"/>
    <w:rsid w:val="005F720D"/>
    <w:rsid w:val="005F7395"/>
    <w:rsid w:val="005F7809"/>
    <w:rsid w:val="005F7D18"/>
    <w:rsid w:val="00600061"/>
    <w:rsid w:val="00600248"/>
    <w:rsid w:val="0060046B"/>
    <w:rsid w:val="00600AC8"/>
    <w:rsid w:val="00600C5B"/>
    <w:rsid w:val="0060159D"/>
    <w:rsid w:val="006017F1"/>
    <w:rsid w:val="00602362"/>
    <w:rsid w:val="00602CC6"/>
    <w:rsid w:val="006030F3"/>
    <w:rsid w:val="006042FE"/>
    <w:rsid w:val="0060444B"/>
    <w:rsid w:val="0060453D"/>
    <w:rsid w:val="00604A8B"/>
    <w:rsid w:val="00605863"/>
    <w:rsid w:val="006059C9"/>
    <w:rsid w:val="00605AEF"/>
    <w:rsid w:val="00605E4B"/>
    <w:rsid w:val="006066B0"/>
    <w:rsid w:val="00606EFD"/>
    <w:rsid w:val="0060709C"/>
    <w:rsid w:val="00607637"/>
    <w:rsid w:val="00610882"/>
    <w:rsid w:val="00612855"/>
    <w:rsid w:val="00612A6C"/>
    <w:rsid w:val="00612B15"/>
    <w:rsid w:val="00613085"/>
    <w:rsid w:val="00613159"/>
    <w:rsid w:val="00613814"/>
    <w:rsid w:val="00613920"/>
    <w:rsid w:val="006139C1"/>
    <w:rsid w:val="00613ADC"/>
    <w:rsid w:val="00614F98"/>
    <w:rsid w:val="00614FA4"/>
    <w:rsid w:val="006152D2"/>
    <w:rsid w:val="00617098"/>
    <w:rsid w:val="0061724C"/>
    <w:rsid w:val="00617902"/>
    <w:rsid w:val="00617C38"/>
    <w:rsid w:val="006200FF"/>
    <w:rsid w:val="006206A3"/>
    <w:rsid w:val="00620ED6"/>
    <w:rsid w:val="00620F9B"/>
    <w:rsid w:val="0062133D"/>
    <w:rsid w:val="00621378"/>
    <w:rsid w:val="0062184F"/>
    <w:rsid w:val="0062187E"/>
    <w:rsid w:val="00621C03"/>
    <w:rsid w:val="00621C28"/>
    <w:rsid w:val="00621C37"/>
    <w:rsid w:val="00621F55"/>
    <w:rsid w:val="00622596"/>
    <w:rsid w:val="00622ED5"/>
    <w:rsid w:val="00623C41"/>
    <w:rsid w:val="0062454B"/>
    <w:rsid w:val="00625194"/>
    <w:rsid w:val="00625366"/>
    <w:rsid w:val="006253CB"/>
    <w:rsid w:val="0062545A"/>
    <w:rsid w:val="00625E80"/>
    <w:rsid w:val="006265C8"/>
    <w:rsid w:val="0062660E"/>
    <w:rsid w:val="006268F1"/>
    <w:rsid w:val="00626D8E"/>
    <w:rsid w:val="006274FF"/>
    <w:rsid w:val="006277D7"/>
    <w:rsid w:val="00627BBE"/>
    <w:rsid w:val="00630106"/>
    <w:rsid w:val="0063014F"/>
    <w:rsid w:val="006306CA"/>
    <w:rsid w:val="00631275"/>
    <w:rsid w:val="0063142F"/>
    <w:rsid w:val="00631684"/>
    <w:rsid w:val="00631A60"/>
    <w:rsid w:val="00632408"/>
    <w:rsid w:val="00632A67"/>
    <w:rsid w:val="00632DDB"/>
    <w:rsid w:val="00633255"/>
    <w:rsid w:val="006344C1"/>
    <w:rsid w:val="00634BBF"/>
    <w:rsid w:val="006353A3"/>
    <w:rsid w:val="00635569"/>
    <w:rsid w:val="00635E94"/>
    <w:rsid w:val="00636382"/>
    <w:rsid w:val="00636AE8"/>
    <w:rsid w:val="0063740D"/>
    <w:rsid w:val="0063756A"/>
    <w:rsid w:val="00637B5B"/>
    <w:rsid w:val="00637FC3"/>
    <w:rsid w:val="006404C8"/>
    <w:rsid w:val="006406FF"/>
    <w:rsid w:val="0064074A"/>
    <w:rsid w:val="0064086B"/>
    <w:rsid w:val="006415DE"/>
    <w:rsid w:val="00641BA1"/>
    <w:rsid w:val="00642D94"/>
    <w:rsid w:val="00643479"/>
    <w:rsid w:val="00643730"/>
    <w:rsid w:val="00644132"/>
    <w:rsid w:val="0064429A"/>
    <w:rsid w:val="00644755"/>
    <w:rsid w:val="006449B1"/>
    <w:rsid w:val="00644CD6"/>
    <w:rsid w:val="00645A06"/>
    <w:rsid w:val="00645BF9"/>
    <w:rsid w:val="0064622B"/>
    <w:rsid w:val="0064678A"/>
    <w:rsid w:val="006467C0"/>
    <w:rsid w:val="00647034"/>
    <w:rsid w:val="006475B3"/>
    <w:rsid w:val="006477AE"/>
    <w:rsid w:val="006478B4"/>
    <w:rsid w:val="0065013A"/>
    <w:rsid w:val="0065075E"/>
    <w:rsid w:val="006519BF"/>
    <w:rsid w:val="00651D7F"/>
    <w:rsid w:val="00651FE5"/>
    <w:rsid w:val="00652066"/>
    <w:rsid w:val="0065211E"/>
    <w:rsid w:val="00652268"/>
    <w:rsid w:val="006529DE"/>
    <w:rsid w:val="00653EC3"/>
    <w:rsid w:val="00654489"/>
    <w:rsid w:val="00654BB6"/>
    <w:rsid w:val="006554DA"/>
    <w:rsid w:val="0065571B"/>
    <w:rsid w:val="00655E60"/>
    <w:rsid w:val="00655EEA"/>
    <w:rsid w:val="0065664F"/>
    <w:rsid w:val="006566D8"/>
    <w:rsid w:val="00656F8F"/>
    <w:rsid w:val="006579DB"/>
    <w:rsid w:val="00657F33"/>
    <w:rsid w:val="00660BD3"/>
    <w:rsid w:val="006610F2"/>
    <w:rsid w:val="00662AD0"/>
    <w:rsid w:val="00662F35"/>
    <w:rsid w:val="006632F7"/>
    <w:rsid w:val="006638B4"/>
    <w:rsid w:val="00663971"/>
    <w:rsid w:val="00663A32"/>
    <w:rsid w:val="00664091"/>
    <w:rsid w:val="00664F32"/>
    <w:rsid w:val="00665406"/>
    <w:rsid w:val="006655E4"/>
    <w:rsid w:val="00665C5A"/>
    <w:rsid w:val="0066620B"/>
    <w:rsid w:val="0066628A"/>
    <w:rsid w:val="006666FF"/>
    <w:rsid w:val="006674F4"/>
    <w:rsid w:val="00667779"/>
    <w:rsid w:val="00667F73"/>
    <w:rsid w:val="0067075C"/>
    <w:rsid w:val="00670A59"/>
    <w:rsid w:val="00671A01"/>
    <w:rsid w:val="00671FF6"/>
    <w:rsid w:val="0067306A"/>
    <w:rsid w:val="00673B3A"/>
    <w:rsid w:val="00673F53"/>
    <w:rsid w:val="006747A1"/>
    <w:rsid w:val="0067511D"/>
    <w:rsid w:val="006754C1"/>
    <w:rsid w:val="00675944"/>
    <w:rsid w:val="00675A3A"/>
    <w:rsid w:val="00675BA2"/>
    <w:rsid w:val="006766D1"/>
    <w:rsid w:val="00676841"/>
    <w:rsid w:val="00676D2B"/>
    <w:rsid w:val="006772CB"/>
    <w:rsid w:val="00677BE0"/>
    <w:rsid w:val="00680778"/>
    <w:rsid w:val="006809A4"/>
    <w:rsid w:val="00680BC2"/>
    <w:rsid w:val="00681970"/>
    <w:rsid w:val="006819B0"/>
    <w:rsid w:val="00681BE4"/>
    <w:rsid w:val="00681F40"/>
    <w:rsid w:val="00681FE6"/>
    <w:rsid w:val="0068299B"/>
    <w:rsid w:val="00682DEA"/>
    <w:rsid w:val="006834CB"/>
    <w:rsid w:val="006835FC"/>
    <w:rsid w:val="00683B24"/>
    <w:rsid w:val="006843F0"/>
    <w:rsid w:val="006845B7"/>
    <w:rsid w:val="00684852"/>
    <w:rsid w:val="006859A3"/>
    <w:rsid w:val="006859DD"/>
    <w:rsid w:val="00685A61"/>
    <w:rsid w:val="00686314"/>
    <w:rsid w:val="00686338"/>
    <w:rsid w:val="006863D3"/>
    <w:rsid w:val="006863DE"/>
    <w:rsid w:val="006874A3"/>
    <w:rsid w:val="006878D0"/>
    <w:rsid w:val="0069014D"/>
    <w:rsid w:val="0069073F"/>
    <w:rsid w:val="00691131"/>
    <w:rsid w:val="006913D4"/>
    <w:rsid w:val="0069190B"/>
    <w:rsid w:val="00691F57"/>
    <w:rsid w:val="00692E18"/>
    <w:rsid w:val="0069317F"/>
    <w:rsid w:val="00693C84"/>
    <w:rsid w:val="00694028"/>
    <w:rsid w:val="0069434D"/>
    <w:rsid w:val="00694943"/>
    <w:rsid w:val="00694D93"/>
    <w:rsid w:val="006950C8"/>
    <w:rsid w:val="00695110"/>
    <w:rsid w:val="006954B0"/>
    <w:rsid w:val="00695AF8"/>
    <w:rsid w:val="00695B99"/>
    <w:rsid w:val="00696A74"/>
    <w:rsid w:val="00696F99"/>
    <w:rsid w:val="00697042"/>
    <w:rsid w:val="00697435"/>
    <w:rsid w:val="006975FC"/>
    <w:rsid w:val="00697604"/>
    <w:rsid w:val="0069777F"/>
    <w:rsid w:val="00697893"/>
    <w:rsid w:val="006A0094"/>
    <w:rsid w:val="006A254C"/>
    <w:rsid w:val="006A2601"/>
    <w:rsid w:val="006A2CC9"/>
    <w:rsid w:val="006A3B1C"/>
    <w:rsid w:val="006A4292"/>
    <w:rsid w:val="006A4352"/>
    <w:rsid w:val="006A47D8"/>
    <w:rsid w:val="006A4B58"/>
    <w:rsid w:val="006A51FA"/>
    <w:rsid w:val="006A5BC5"/>
    <w:rsid w:val="006A6F00"/>
    <w:rsid w:val="006A7D4B"/>
    <w:rsid w:val="006A7F7D"/>
    <w:rsid w:val="006B0225"/>
    <w:rsid w:val="006B10ED"/>
    <w:rsid w:val="006B1126"/>
    <w:rsid w:val="006B16FA"/>
    <w:rsid w:val="006B1B37"/>
    <w:rsid w:val="006B1CA6"/>
    <w:rsid w:val="006B1DD5"/>
    <w:rsid w:val="006B2459"/>
    <w:rsid w:val="006B2992"/>
    <w:rsid w:val="006B33BC"/>
    <w:rsid w:val="006B36B3"/>
    <w:rsid w:val="006B427C"/>
    <w:rsid w:val="006B45A1"/>
    <w:rsid w:val="006B4BB1"/>
    <w:rsid w:val="006B4CF4"/>
    <w:rsid w:val="006B5002"/>
    <w:rsid w:val="006B53F3"/>
    <w:rsid w:val="006B6B2C"/>
    <w:rsid w:val="006B6F99"/>
    <w:rsid w:val="006B73C6"/>
    <w:rsid w:val="006B7578"/>
    <w:rsid w:val="006B79DF"/>
    <w:rsid w:val="006B7B14"/>
    <w:rsid w:val="006C03A0"/>
    <w:rsid w:val="006C03E5"/>
    <w:rsid w:val="006C055F"/>
    <w:rsid w:val="006C0A8B"/>
    <w:rsid w:val="006C0DDF"/>
    <w:rsid w:val="006C0E63"/>
    <w:rsid w:val="006C135D"/>
    <w:rsid w:val="006C1573"/>
    <w:rsid w:val="006C1615"/>
    <w:rsid w:val="006C175F"/>
    <w:rsid w:val="006C1A33"/>
    <w:rsid w:val="006C2DBE"/>
    <w:rsid w:val="006C3690"/>
    <w:rsid w:val="006C45BF"/>
    <w:rsid w:val="006C4CD2"/>
    <w:rsid w:val="006C54FF"/>
    <w:rsid w:val="006C591C"/>
    <w:rsid w:val="006C6380"/>
    <w:rsid w:val="006C7C1E"/>
    <w:rsid w:val="006D0982"/>
    <w:rsid w:val="006D0E04"/>
    <w:rsid w:val="006D0FBB"/>
    <w:rsid w:val="006D10B1"/>
    <w:rsid w:val="006D1699"/>
    <w:rsid w:val="006D16E4"/>
    <w:rsid w:val="006D1E48"/>
    <w:rsid w:val="006D23BF"/>
    <w:rsid w:val="006D38EB"/>
    <w:rsid w:val="006D3C5C"/>
    <w:rsid w:val="006D3D89"/>
    <w:rsid w:val="006D3E33"/>
    <w:rsid w:val="006D43BC"/>
    <w:rsid w:val="006D5315"/>
    <w:rsid w:val="006D553B"/>
    <w:rsid w:val="006D5A6F"/>
    <w:rsid w:val="006D6AF3"/>
    <w:rsid w:val="006D75F0"/>
    <w:rsid w:val="006E09E4"/>
    <w:rsid w:val="006E1E87"/>
    <w:rsid w:val="006E1F91"/>
    <w:rsid w:val="006E2079"/>
    <w:rsid w:val="006E2190"/>
    <w:rsid w:val="006E24A8"/>
    <w:rsid w:val="006E2ACF"/>
    <w:rsid w:val="006E3232"/>
    <w:rsid w:val="006E3E26"/>
    <w:rsid w:val="006E4373"/>
    <w:rsid w:val="006E4550"/>
    <w:rsid w:val="006E4D70"/>
    <w:rsid w:val="006E5A2A"/>
    <w:rsid w:val="006E64F3"/>
    <w:rsid w:val="006E6813"/>
    <w:rsid w:val="006E7114"/>
    <w:rsid w:val="006E797D"/>
    <w:rsid w:val="006E7E4B"/>
    <w:rsid w:val="006F0480"/>
    <w:rsid w:val="006F0485"/>
    <w:rsid w:val="006F1254"/>
    <w:rsid w:val="006F206B"/>
    <w:rsid w:val="006F2109"/>
    <w:rsid w:val="006F28D2"/>
    <w:rsid w:val="006F30BE"/>
    <w:rsid w:val="006F4061"/>
    <w:rsid w:val="006F438B"/>
    <w:rsid w:val="006F4536"/>
    <w:rsid w:val="006F477D"/>
    <w:rsid w:val="006F4851"/>
    <w:rsid w:val="006F4C92"/>
    <w:rsid w:val="006F4CA6"/>
    <w:rsid w:val="006F52F4"/>
    <w:rsid w:val="006F59FD"/>
    <w:rsid w:val="006F5DA4"/>
    <w:rsid w:val="006F692E"/>
    <w:rsid w:val="006F6E5B"/>
    <w:rsid w:val="006F700F"/>
    <w:rsid w:val="006F7408"/>
    <w:rsid w:val="006F7F3E"/>
    <w:rsid w:val="00700122"/>
    <w:rsid w:val="00700273"/>
    <w:rsid w:val="007006AF"/>
    <w:rsid w:val="00700E0A"/>
    <w:rsid w:val="00700E48"/>
    <w:rsid w:val="007013AC"/>
    <w:rsid w:val="00703084"/>
    <w:rsid w:val="007034B2"/>
    <w:rsid w:val="007038D8"/>
    <w:rsid w:val="007038EA"/>
    <w:rsid w:val="00705935"/>
    <w:rsid w:val="0070626A"/>
    <w:rsid w:val="00706551"/>
    <w:rsid w:val="00707C5A"/>
    <w:rsid w:val="00707D1A"/>
    <w:rsid w:val="007100F3"/>
    <w:rsid w:val="00710171"/>
    <w:rsid w:val="007104B1"/>
    <w:rsid w:val="00710A27"/>
    <w:rsid w:val="00712630"/>
    <w:rsid w:val="007129C3"/>
    <w:rsid w:val="00712CB5"/>
    <w:rsid w:val="00712E89"/>
    <w:rsid w:val="00712FFD"/>
    <w:rsid w:val="00713324"/>
    <w:rsid w:val="0071361E"/>
    <w:rsid w:val="00713881"/>
    <w:rsid w:val="00713FAF"/>
    <w:rsid w:val="00714023"/>
    <w:rsid w:val="00714A20"/>
    <w:rsid w:val="00714FE4"/>
    <w:rsid w:val="0071583C"/>
    <w:rsid w:val="00715CB3"/>
    <w:rsid w:val="007169B7"/>
    <w:rsid w:val="007208AA"/>
    <w:rsid w:val="00720BED"/>
    <w:rsid w:val="007217E1"/>
    <w:rsid w:val="00721932"/>
    <w:rsid w:val="00721D45"/>
    <w:rsid w:val="00721E03"/>
    <w:rsid w:val="00721F96"/>
    <w:rsid w:val="00722570"/>
    <w:rsid w:val="0072417D"/>
    <w:rsid w:val="00725174"/>
    <w:rsid w:val="00725314"/>
    <w:rsid w:val="00725318"/>
    <w:rsid w:val="00725677"/>
    <w:rsid w:val="0072577F"/>
    <w:rsid w:val="007258B8"/>
    <w:rsid w:val="00725B37"/>
    <w:rsid w:val="00725C41"/>
    <w:rsid w:val="00726354"/>
    <w:rsid w:val="0072673B"/>
    <w:rsid w:val="00726825"/>
    <w:rsid w:val="00726A29"/>
    <w:rsid w:val="00727702"/>
    <w:rsid w:val="00727B5F"/>
    <w:rsid w:val="00727D99"/>
    <w:rsid w:val="007300FB"/>
    <w:rsid w:val="00730134"/>
    <w:rsid w:val="007301A1"/>
    <w:rsid w:val="00730440"/>
    <w:rsid w:val="007307B0"/>
    <w:rsid w:val="00730A98"/>
    <w:rsid w:val="00730BFA"/>
    <w:rsid w:val="007310E8"/>
    <w:rsid w:val="00731688"/>
    <w:rsid w:val="00731713"/>
    <w:rsid w:val="00731B92"/>
    <w:rsid w:val="00732601"/>
    <w:rsid w:val="00732669"/>
    <w:rsid w:val="007338C6"/>
    <w:rsid w:val="00733A6D"/>
    <w:rsid w:val="00733B3A"/>
    <w:rsid w:val="007341D0"/>
    <w:rsid w:val="00734EDF"/>
    <w:rsid w:val="00734F3F"/>
    <w:rsid w:val="007356DA"/>
    <w:rsid w:val="00735D28"/>
    <w:rsid w:val="0073610B"/>
    <w:rsid w:val="00736797"/>
    <w:rsid w:val="00736D17"/>
    <w:rsid w:val="00737925"/>
    <w:rsid w:val="00737D73"/>
    <w:rsid w:val="00740A4B"/>
    <w:rsid w:val="00740D0B"/>
    <w:rsid w:val="007416EB"/>
    <w:rsid w:val="0074173F"/>
    <w:rsid w:val="00742032"/>
    <w:rsid w:val="007425FB"/>
    <w:rsid w:val="007437B9"/>
    <w:rsid w:val="00744374"/>
    <w:rsid w:val="00744B3E"/>
    <w:rsid w:val="007466AF"/>
    <w:rsid w:val="00746730"/>
    <w:rsid w:val="00746B5B"/>
    <w:rsid w:val="00746ED3"/>
    <w:rsid w:val="007479BF"/>
    <w:rsid w:val="00747A85"/>
    <w:rsid w:val="00747BB3"/>
    <w:rsid w:val="00750A6A"/>
    <w:rsid w:val="00750D84"/>
    <w:rsid w:val="00751000"/>
    <w:rsid w:val="00751FCC"/>
    <w:rsid w:val="00752DDB"/>
    <w:rsid w:val="007538A4"/>
    <w:rsid w:val="0075419D"/>
    <w:rsid w:val="007543F0"/>
    <w:rsid w:val="00754402"/>
    <w:rsid w:val="00754B21"/>
    <w:rsid w:val="00754CDD"/>
    <w:rsid w:val="00755369"/>
    <w:rsid w:val="007554C2"/>
    <w:rsid w:val="0075571D"/>
    <w:rsid w:val="0075595E"/>
    <w:rsid w:val="00755CCA"/>
    <w:rsid w:val="00756B4F"/>
    <w:rsid w:val="00756DB3"/>
    <w:rsid w:val="00756EA6"/>
    <w:rsid w:val="00756F8B"/>
    <w:rsid w:val="007573C7"/>
    <w:rsid w:val="00757BF0"/>
    <w:rsid w:val="00757CE7"/>
    <w:rsid w:val="00757CF7"/>
    <w:rsid w:val="0076075F"/>
    <w:rsid w:val="00760A4C"/>
    <w:rsid w:val="00760CFF"/>
    <w:rsid w:val="00760DCD"/>
    <w:rsid w:val="00760E71"/>
    <w:rsid w:val="00761292"/>
    <w:rsid w:val="0076165B"/>
    <w:rsid w:val="007618DE"/>
    <w:rsid w:val="007621A4"/>
    <w:rsid w:val="007621CD"/>
    <w:rsid w:val="007627D7"/>
    <w:rsid w:val="007633CD"/>
    <w:rsid w:val="00763604"/>
    <w:rsid w:val="00763755"/>
    <w:rsid w:val="00763992"/>
    <w:rsid w:val="00763B83"/>
    <w:rsid w:val="007640EC"/>
    <w:rsid w:val="0076440E"/>
    <w:rsid w:val="00765432"/>
    <w:rsid w:val="00765599"/>
    <w:rsid w:val="00766523"/>
    <w:rsid w:val="00766EEA"/>
    <w:rsid w:val="00766EF0"/>
    <w:rsid w:val="00766FE8"/>
    <w:rsid w:val="00767888"/>
    <w:rsid w:val="00770406"/>
    <w:rsid w:val="00770C11"/>
    <w:rsid w:val="007710B8"/>
    <w:rsid w:val="00771E18"/>
    <w:rsid w:val="00772002"/>
    <w:rsid w:val="00772324"/>
    <w:rsid w:val="007723C2"/>
    <w:rsid w:val="0077270F"/>
    <w:rsid w:val="00772CA7"/>
    <w:rsid w:val="00772CBC"/>
    <w:rsid w:val="0077322F"/>
    <w:rsid w:val="00773476"/>
    <w:rsid w:val="00773627"/>
    <w:rsid w:val="00773A31"/>
    <w:rsid w:val="00773F35"/>
    <w:rsid w:val="007740C3"/>
    <w:rsid w:val="00774598"/>
    <w:rsid w:val="00774654"/>
    <w:rsid w:val="00775FF2"/>
    <w:rsid w:val="00776493"/>
    <w:rsid w:val="0077685D"/>
    <w:rsid w:val="00776CBD"/>
    <w:rsid w:val="00776F5C"/>
    <w:rsid w:val="00777C34"/>
    <w:rsid w:val="007807A3"/>
    <w:rsid w:val="00780D60"/>
    <w:rsid w:val="00780D9A"/>
    <w:rsid w:val="00781066"/>
    <w:rsid w:val="0078145F"/>
    <w:rsid w:val="00782E63"/>
    <w:rsid w:val="0078330B"/>
    <w:rsid w:val="00783470"/>
    <w:rsid w:val="0078363C"/>
    <w:rsid w:val="007837CE"/>
    <w:rsid w:val="00783A04"/>
    <w:rsid w:val="00783EC6"/>
    <w:rsid w:val="007843C8"/>
    <w:rsid w:val="00784EDB"/>
    <w:rsid w:val="007867C3"/>
    <w:rsid w:val="007909CE"/>
    <w:rsid w:val="00790C41"/>
    <w:rsid w:val="00790EEF"/>
    <w:rsid w:val="00791089"/>
    <w:rsid w:val="007910EE"/>
    <w:rsid w:val="0079136D"/>
    <w:rsid w:val="00791CD1"/>
    <w:rsid w:val="00792082"/>
    <w:rsid w:val="00792D99"/>
    <w:rsid w:val="007938BF"/>
    <w:rsid w:val="00793A52"/>
    <w:rsid w:val="00793B0C"/>
    <w:rsid w:val="0079435B"/>
    <w:rsid w:val="00794369"/>
    <w:rsid w:val="00794412"/>
    <w:rsid w:val="00794856"/>
    <w:rsid w:val="00794C8B"/>
    <w:rsid w:val="00794F47"/>
    <w:rsid w:val="00794FBA"/>
    <w:rsid w:val="00795677"/>
    <w:rsid w:val="00795B5F"/>
    <w:rsid w:val="00796081"/>
    <w:rsid w:val="00796E97"/>
    <w:rsid w:val="007970BD"/>
    <w:rsid w:val="007975D7"/>
    <w:rsid w:val="00797C50"/>
    <w:rsid w:val="00797E71"/>
    <w:rsid w:val="00797EB3"/>
    <w:rsid w:val="007A0520"/>
    <w:rsid w:val="007A05D7"/>
    <w:rsid w:val="007A0643"/>
    <w:rsid w:val="007A08C4"/>
    <w:rsid w:val="007A1833"/>
    <w:rsid w:val="007A315B"/>
    <w:rsid w:val="007A39C8"/>
    <w:rsid w:val="007A39FB"/>
    <w:rsid w:val="007A3E8C"/>
    <w:rsid w:val="007A3FC4"/>
    <w:rsid w:val="007A508D"/>
    <w:rsid w:val="007A509A"/>
    <w:rsid w:val="007A53AC"/>
    <w:rsid w:val="007A6ECF"/>
    <w:rsid w:val="007A6F30"/>
    <w:rsid w:val="007A792B"/>
    <w:rsid w:val="007A79E0"/>
    <w:rsid w:val="007A7B30"/>
    <w:rsid w:val="007A7BEF"/>
    <w:rsid w:val="007A7DBB"/>
    <w:rsid w:val="007B034E"/>
    <w:rsid w:val="007B03B6"/>
    <w:rsid w:val="007B05FB"/>
    <w:rsid w:val="007B0910"/>
    <w:rsid w:val="007B0F17"/>
    <w:rsid w:val="007B0F7D"/>
    <w:rsid w:val="007B10B0"/>
    <w:rsid w:val="007B129B"/>
    <w:rsid w:val="007B15BD"/>
    <w:rsid w:val="007B19AE"/>
    <w:rsid w:val="007B1A32"/>
    <w:rsid w:val="007B1FEB"/>
    <w:rsid w:val="007B2627"/>
    <w:rsid w:val="007B289A"/>
    <w:rsid w:val="007B2979"/>
    <w:rsid w:val="007B2EF8"/>
    <w:rsid w:val="007B3301"/>
    <w:rsid w:val="007B3739"/>
    <w:rsid w:val="007B4123"/>
    <w:rsid w:val="007B45A0"/>
    <w:rsid w:val="007B4919"/>
    <w:rsid w:val="007B4D1A"/>
    <w:rsid w:val="007B4D3B"/>
    <w:rsid w:val="007B4ED2"/>
    <w:rsid w:val="007B4FAE"/>
    <w:rsid w:val="007B5401"/>
    <w:rsid w:val="007B555D"/>
    <w:rsid w:val="007B6716"/>
    <w:rsid w:val="007B6A1A"/>
    <w:rsid w:val="007B70B0"/>
    <w:rsid w:val="007B7AA6"/>
    <w:rsid w:val="007B7AB0"/>
    <w:rsid w:val="007B7CF4"/>
    <w:rsid w:val="007B7E1F"/>
    <w:rsid w:val="007B7ED0"/>
    <w:rsid w:val="007C0385"/>
    <w:rsid w:val="007C08A0"/>
    <w:rsid w:val="007C338D"/>
    <w:rsid w:val="007C3489"/>
    <w:rsid w:val="007C3958"/>
    <w:rsid w:val="007C3959"/>
    <w:rsid w:val="007C4098"/>
    <w:rsid w:val="007C4518"/>
    <w:rsid w:val="007C548F"/>
    <w:rsid w:val="007C56C3"/>
    <w:rsid w:val="007C5857"/>
    <w:rsid w:val="007C5AAF"/>
    <w:rsid w:val="007C61E8"/>
    <w:rsid w:val="007C712A"/>
    <w:rsid w:val="007C7C60"/>
    <w:rsid w:val="007C7E95"/>
    <w:rsid w:val="007C7EA3"/>
    <w:rsid w:val="007D0C33"/>
    <w:rsid w:val="007D1684"/>
    <w:rsid w:val="007D1AFE"/>
    <w:rsid w:val="007D1C36"/>
    <w:rsid w:val="007D3FEE"/>
    <w:rsid w:val="007D4021"/>
    <w:rsid w:val="007D4849"/>
    <w:rsid w:val="007D4897"/>
    <w:rsid w:val="007D571F"/>
    <w:rsid w:val="007D5C67"/>
    <w:rsid w:val="007D617F"/>
    <w:rsid w:val="007D61B1"/>
    <w:rsid w:val="007D6C86"/>
    <w:rsid w:val="007D7187"/>
    <w:rsid w:val="007D75D6"/>
    <w:rsid w:val="007D770D"/>
    <w:rsid w:val="007D7E27"/>
    <w:rsid w:val="007E0593"/>
    <w:rsid w:val="007E0609"/>
    <w:rsid w:val="007E14F6"/>
    <w:rsid w:val="007E19F6"/>
    <w:rsid w:val="007E1ADD"/>
    <w:rsid w:val="007E1C25"/>
    <w:rsid w:val="007E2FB6"/>
    <w:rsid w:val="007E4613"/>
    <w:rsid w:val="007E4CEF"/>
    <w:rsid w:val="007E6175"/>
    <w:rsid w:val="007E664F"/>
    <w:rsid w:val="007E69FC"/>
    <w:rsid w:val="007E6FC1"/>
    <w:rsid w:val="007E7BFC"/>
    <w:rsid w:val="007E7F08"/>
    <w:rsid w:val="007F006E"/>
    <w:rsid w:val="007F0091"/>
    <w:rsid w:val="007F05B4"/>
    <w:rsid w:val="007F152F"/>
    <w:rsid w:val="007F1D20"/>
    <w:rsid w:val="007F20A2"/>
    <w:rsid w:val="007F2316"/>
    <w:rsid w:val="007F2511"/>
    <w:rsid w:val="007F2DC1"/>
    <w:rsid w:val="007F3039"/>
    <w:rsid w:val="007F3423"/>
    <w:rsid w:val="007F4477"/>
    <w:rsid w:val="007F5904"/>
    <w:rsid w:val="007F65A9"/>
    <w:rsid w:val="007F6FF0"/>
    <w:rsid w:val="007F7590"/>
    <w:rsid w:val="007F786F"/>
    <w:rsid w:val="007F7B10"/>
    <w:rsid w:val="008000C5"/>
    <w:rsid w:val="0080088D"/>
    <w:rsid w:val="00801CE5"/>
    <w:rsid w:val="00802000"/>
    <w:rsid w:val="008020DA"/>
    <w:rsid w:val="00802CF3"/>
    <w:rsid w:val="00802E5F"/>
    <w:rsid w:val="00803513"/>
    <w:rsid w:val="008039CF"/>
    <w:rsid w:val="00804A25"/>
    <w:rsid w:val="00805B06"/>
    <w:rsid w:val="00805E0C"/>
    <w:rsid w:val="00805F36"/>
    <w:rsid w:val="008073DC"/>
    <w:rsid w:val="0081017D"/>
    <w:rsid w:val="0081036C"/>
    <w:rsid w:val="008108C4"/>
    <w:rsid w:val="00811821"/>
    <w:rsid w:val="00811963"/>
    <w:rsid w:val="00811E54"/>
    <w:rsid w:val="0081205F"/>
    <w:rsid w:val="008120B3"/>
    <w:rsid w:val="008123A1"/>
    <w:rsid w:val="008137A7"/>
    <w:rsid w:val="008137FD"/>
    <w:rsid w:val="00814CA1"/>
    <w:rsid w:val="008157B1"/>
    <w:rsid w:val="0081646B"/>
    <w:rsid w:val="008167F9"/>
    <w:rsid w:val="00816F71"/>
    <w:rsid w:val="00817306"/>
    <w:rsid w:val="008176B9"/>
    <w:rsid w:val="00817EA5"/>
    <w:rsid w:val="00817FFC"/>
    <w:rsid w:val="00820DD3"/>
    <w:rsid w:val="0082104B"/>
    <w:rsid w:val="008218C5"/>
    <w:rsid w:val="0082335A"/>
    <w:rsid w:val="00823928"/>
    <w:rsid w:val="00823A86"/>
    <w:rsid w:val="00824161"/>
    <w:rsid w:val="008244C7"/>
    <w:rsid w:val="00824BEB"/>
    <w:rsid w:val="008258F7"/>
    <w:rsid w:val="008259EA"/>
    <w:rsid w:val="00825B80"/>
    <w:rsid w:val="00825D06"/>
    <w:rsid w:val="008260E2"/>
    <w:rsid w:val="0082622D"/>
    <w:rsid w:val="00826698"/>
    <w:rsid w:val="008266E2"/>
    <w:rsid w:val="0082681F"/>
    <w:rsid w:val="0082686D"/>
    <w:rsid w:val="008271E5"/>
    <w:rsid w:val="0082756D"/>
    <w:rsid w:val="00827F05"/>
    <w:rsid w:val="008301DA"/>
    <w:rsid w:val="008307D0"/>
    <w:rsid w:val="0083082D"/>
    <w:rsid w:val="00830C59"/>
    <w:rsid w:val="00830EDB"/>
    <w:rsid w:val="00831BCC"/>
    <w:rsid w:val="00831D74"/>
    <w:rsid w:val="00831D90"/>
    <w:rsid w:val="008334BB"/>
    <w:rsid w:val="00833B32"/>
    <w:rsid w:val="00833D61"/>
    <w:rsid w:val="00833E31"/>
    <w:rsid w:val="00833F22"/>
    <w:rsid w:val="00834394"/>
    <w:rsid w:val="00834688"/>
    <w:rsid w:val="008349DB"/>
    <w:rsid w:val="00835004"/>
    <w:rsid w:val="00835535"/>
    <w:rsid w:val="00836530"/>
    <w:rsid w:val="008368E2"/>
    <w:rsid w:val="00836C40"/>
    <w:rsid w:val="00836C53"/>
    <w:rsid w:val="00837459"/>
    <w:rsid w:val="008374A9"/>
    <w:rsid w:val="00840AFD"/>
    <w:rsid w:val="00840B2B"/>
    <w:rsid w:val="00840D03"/>
    <w:rsid w:val="00840D07"/>
    <w:rsid w:val="00841058"/>
    <w:rsid w:val="008410CE"/>
    <w:rsid w:val="00841BB4"/>
    <w:rsid w:val="00841F8C"/>
    <w:rsid w:val="0084202C"/>
    <w:rsid w:val="008423D3"/>
    <w:rsid w:val="0084254F"/>
    <w:rsid w:val="00842A1B"/>
    <w:rsid w:val="00842B8A"/>
    <w:rsid w:val="008430EF"/>
    <w:rsid w:val="008437E1"/>
    <w:rsid w:val="00843E0C"/>
    <w:rsid w:val="008441B3"/>
    <w:rsid w:val="008441E9"/>
    <w:rsid w:val="00844738"/>
    <w:rsid w:val="00844E57"/>
    <w:rsid w:val="00844E96"/>
    <w:rsid w:val="00845078"/>
    <w:rsid w:val="00846600"/>
    <w:rsid w:val="0084705C"/>
    <w:rsid w:val="008473BA"/>
    <w:rsid w:val="008476C9"/>
    <w:rsid w:val="00847E85"/>
    <w:rsid w:val="008500DA"/>
    <w:rsid w:val="008502D0"/>
    <w:rsid w:val="0085051A"/>
    <w:rsid w:val="00850672"/>
    <w:rsid w:val="00850F47"/>
    <w:rsid w:val="008516CA"/>
    <w:rsid w:val="008517B5"/>
    <w:rsid w:val="00851AB1"/>
    <w:rsid w:val="008520B6"/>
    <w:rsid w:val="00852BF9"/>
    <w:rsid w:val="00853709"/>
    <w:rsid w:val="008537B2"/>
    <w:rsid w:val="0085384D"/>
    <w:rsid w:val="00853A91"/>
    <w:rsid w:val="00854171"/>
    <w:rsid w:val="00854DE9"/>
    <w:rsid w:val="00855A68"/>
    <w:rsid w:val="008567F9"/>
    <w:rsid w:val="00856868"/>
    <w:rsid w:val="00857348"/>
    <w:rsid w:val="008574CD"/>
    <w:rsid w:val="0085790E"/>
    <w:rsid w:val="00857A46"/>
    <w:rsid w:val="00857E7F"/>
    <w:rsid w:val="00857FDE"/>
    <w:rsid w:val="00860156"/>
    <w:rsid w:val="008607DB"/>
    <w:rsid w:val="00860808"/>
    <w:rsid w:val="00860943"/>
    <w:rsid w:val="00860B13"/>
    <w:rsid w:val="00862109"/>
    <w:rsid w:val="00862B7A"/>
    <w:rsid w:val="00862D1E"/>
    <w:rsid w:val="008642D4"/>
    <w:rsid w:val="008643F7"/>
    <w:rsid w:val="008644E2"/>
    <w:rsid w:val="00864C4E"/>
    <w:rsid w:val="00865222"/>
    <w:rsid w:val="00865BE6"/>
    <w:rsid w:val="00865D29"/>
    <w:rsid w:val="00866545"/>
    <w:rsid w:val="008667E0"/>
    <w:rsid w:val="00866C12"/>
    <w:rsid w:val="008672A7"/>
    <w:rsid w:val="008676AF"/>
    <w:rsid w:val="00867957"/>
    <w:rsid w:val="00867DF0"/>
    <w:rsid w:val="0087036E"/>
    <w:rsid w:val="00870970"/>
    <w:rsid w:val="008713B3"/>
    <w:rsid w:val="00871D20"/>
    <w:rsid w:val="00872A31"/>
    <w:rsid w:val="00872A42"/>
    <w:rsid w:val="00872D3F"/>
    <w:rsid w:val="0087318C"/>
    <w:rsid w:val="00873384"/>
    <w:rsid w:val="0087352B"/>
    <w:rsid w:val="00873E06"/>
    <w:rsid w:val="008743D4"/>
    <w:rsid w:val="00874437"/>
    <w:rsid w:val="0087465A"/>
    <w:rsid w:val="008754E7"/>
    <w:rsid w:val="0087562F"/>
    <w:rsid w:val="0087567A"/>
    <w:rsid w:val="0087569C"/>
    <w:rsid w:val="00875B32"/>
    <w:rsid w:val="00875D27"/>
    <w:rsid w:val="008776E8"/>
    <w:rsid w:val="00877B78"/>
    <w:rsid w:val="00877B7C"/>
    <w:rsid w:val="00877E02"/>
    <w:rsid w:val="008804FF"/>
    <w:rsid w:val="00881222"/>
    <w:rsid w:val="00881490"/>
    <w:rsid w:val="008823E8"/>
    <w:rsid w:val="00882BC9"/>
    <w:rsid w:val="008838A2"/>
    <w:rsid w:val="00883B4F"/>
    <w:rsid w:val="008840C6"/>
    <w:rsid w:val="00884A5C"/>
    <w:rsid w:val="00884C8F"/>
    <w:rsid w:val="00884D91"/>
    <w:rsid w:val="00885B74"/>
    <w:rsid w:val="00885C3B"/>
    <w:rsid w:val="00885F69"/>
    <w:rsid w:val="00886372"/>
    <w:rsid w:val="008868A2"/>
    <w:rsid w:val="008879A4"/>
    <w:rsid w:val="00887CC2"/>
    <w:rsid w:val="00887E03"/>
    <w:rsid w:val="00890311"/>
    <w:rsid w:val="008905CD"/>
    <w:rsid w:val="008908E8"/>
    <w:rsid w:val="00890BB6"/>
    <w:rsid w:val="00891C9B"/>
    <w:rsid w:val="00892183"/>
    <w:rsid w:val="00893414"/>
    <w:rsid w:val="00893918"/>
    <w:rsid w:val="00893D9A"/>
    <w:rsid w:val="00894095"/>
    <w:rsid w:val="008940CC"/>
    <w:rsid w:val="0089472E"/>
    <w:rsid w:val="00894C72"/>
    <w:rsid w:val="00895781"/>
    <w:rsid w:val="00897F7D"/>
    <w:rsid w:val="008A0144"/>
    <w:rsid w:val="008A01A0"/>
    <w:rsid w:val="008A03C4"/>
    <w:rsid w:val="008A05CB"/>
    <w:rsid w:val="008A0BA4"/>
    <w:rsid w:val="008A200D"/>
    <w:rsid w:val="008A23F0"/>
    <w:rsid w:val="008A257A"/>
    <w:rsid w:val="008A2C28"/>
    <w:rsid w:val="008A3242"/>
    <w:rsid w:val="008A3508"/>
    <w:rsid w:val="008A3D83"/>
    <w:rsid w:val="008A4328"/>
    <w:rsid w:val="008A4785"/>
    <w:rsid w:val="008A50E8"/>
    <w:rsid w:val="008A516E"/>
    <w:rsid w:val="008A5F3F"/>
    <w:rsid w:val="008A5FD2"/>
    <w:rsid w:val="008A6BC4"/>
    <w:rsid w:val="008A6E46"/>
    <w:rsid w:val="008A6FD9"/>
    <w:rsid w:val="008A7A4D"/>
    <w:rsid w:val="008A7BB5"/>
    <w:rsid w:val="008A7D44"/>
    <w:rsid w:val="008A7DCA"/>
    <w:rsid w:val="008B092D"/>
    <w:rsid w:val="008B09AC"/>
    <w:rsid w:val="008B0F53"/>
    <w:rsid w:val="008B1764"/>
    <w:rsid w:val="008B18F3"/>
    <w:rsid w:val="008B1FF0"/>
    <w:rsid w:val="008B216D"/>
    <w:rsid w:val="008B28D4"/>
    <w:rsid w:val="008B2A3E"/>
    <w:rsid w:val="008B3846"/>
    <w:rsid w:val="008B3A67"/>
    <w:rsid w:val="008B4437"/>
    <w:rsid w:val="008B472E"/>
    <w:rsid w:val="008B50B1"/>
    <w:rsid w:val="008B52B3"/>
    <w:rsid w:val="008B5B2C"/>
    <w:rsid w:val="008B61DF"/>
    <w:rsid w:val="008B6628"/>
    <w:rsid w:val="008B6D54"/>
    <w:rsid w:val="008B6D7E"/>
    <w:rsid w:val="008B78A6"/>
    <w:rsid w:val="008C1086"/>
    <w:rsid w:val="008C1D6B"/>
    <w:rsid w:val="008C1FD7"/>
    <w:rsid w:val="008C21A8"/>
    <w:rsid w:val="008C23AF"/>
    <w:rsid w:val="008C29A9"/>
    <w:rsid w:val="008C2DFC"/>
    <w:rsid w:val="008C3698"/>
    <w:rsid w:val="008C3711"/>
    <w:rsid w:val="008C37D8"/>
    <w:rsid w:val="008C37F4"/>
    <w:rsid w:val="008C3BA7"/>
    <w:rsid w:val="008C40A0"/>
    <w:rsid w:val="008C475B"/>
    <w:rsid w:val="008C653B"/>
    <w:rsid w:val="008C6BEB"/>
    <w:rsid w:val="008C7055"/>
    <w:rsid w:val="008D08FC"/>
    <w:rsid w:val="008D09EB"/>
    <w:rsid w:val="008D1D1D"/>
    <w:rsid w:val="008D1E9E"/>
    <w:rsid w:val="008D31DF"/>
    <w:rsid w:val="008D39F8"/>
    <w:rsid w:val="008D3CD2"/>
    <w:rsid w:val="008D3F90"/>
    <w:rsid w:val="008D42D9"/>
    <w:rsid w:val="008D4894"/>
    <w:rsid w:val="008D4AD7"/>
    <w:rsid w:val="008D57E0"/>
    <w:rsid w:val="008D6AFE"/>
    <w:rsid w:val="008D6DDE"/>
    <w:rsid w:val="008D70BC"/>
    <w:rsid w:val="008D71A6"/>
    <w:rsid w:val="008D72E4"/>
    <w:rsid w:val="008D7763"/>
    <w:rsid w:val="008D7B7B"/>
    <w:rsid w:val="008E01EB"/>
    <w:rsid w:val="008E0A79"/>
    <w:rsid w:val="008E0CF7"/>
    <w:rsid w:val="008E0DBE"/>
    <w:rsid w:val="008E1A91"/>
    <w:rsid w:val="008E262D"/>
    <w:rsid w:val="008E2829"/>
    <w:rsid w:val="008E2A26"/>
    <w:rsid w:val="008E3788"/>
    <w:rsid w:val="008E3B40"/>
    <w:rsid w:val="008E4423"/>
    <w:rsid w:val="008E454C"/>
    <w:rsid w:val="008E4CB8"/>
    <w:rsid w:val="008E4D19"/>
    <w:rsid w:val="008E54C8"/>
    <w:rsid w:val="008E5B1D"/>
    <w:rsid w:val="008E738B"/>
    <w:rsid w:val="008E7CDB"/>
    <w:rsid w:val="008E7CE5"/>
    <w:rsid w:val="008E7D37"/>
    <w:rsid w:val="008F086D"/>
    <w:rsid w:val="008F0CC5"/>
    <w:rsid w:val="008F0D5A"/>
    <w:rsid w:val="008F14DB"/>
    <w:rsid w:val="008F1563"/>
    <w:rsid w:val="008F1CB0"/>
    <w:rsid w:val="008F23CF"/>
    <w:rsid w:val="008F31AF"/>
    <w:rsid w:val="008F34B2"/>
    <w:rsid w:val="008F3BF8"/>
    <w:rsid w:val="008F4DF7"/>
    <w:rsid w:val="008F4EDF"/>
    <w:rsid w:val="008F5814"/>
    <w:rsid w:val="008F5DDB"/>
    <w:rsid w:val="008F5EDB"/>
    <w:rsid w:val="008F620C"/>
    <w:rsid w:val="008F6589"/>
    <w:rsid w:val="008F65BA"/>
    <w:rsid w:val="008F7057"/>
    <w:rsid w:val="008F7C5D"/>
    <w:rsid w:val="008F7E44"/>
    <w:rsid w:val="009020FE"/>
    <w:rsid w:val="009026F7"/>
    <w:rsid w:val="00902F59"/>
    <w:rsid w:val="00903068"/>
    <w:rsid w:val="009037DD"/>
    <w:rsid w:val="00903D8D"/>
    <w:rsid w:val="00903F1F"/>
    <w:rsid w:val="00904409"/>
    <w:rsid w:val="00904629"/>
    <w:rsid w:val="009047A5"/>
    <w:rsid w:val="00904A05"/>
    <w:rsid w:val="00904BC6"/>
    <w:rsid w:val="00904CA5"/>
    <w:rsid w:val="0090504B"/>
    <w:rsid w:val="009059AE"/>
    <w:rsid w:val="00905D9B"/>
    <w:rsid w:val="00905E06"/>
    <w:rsid w:val="00905FC0"/>
    <w:rsid w:val="00907997"/>
    <w:rsid w:val="00907A6C"/>
    <w:rsid w:val="00907B60"/>
    <w:rsid w:val="00907D27"/>
    <w:rsid w:val="009102CB"/>
    <w:rsid w:val="009103B5"/>
    <w:rsid w:val="0091049E"/>
    <w:rsid w:val="00910DB1"/>
    <w:rsid w:val="00911216"/>
    <w:rsid w:val="009119B7"/>
    <w:rsid w:val="00912671"/>
    <w:rsid w:val="009136E9"/>
    <w:rsid w:val="009138A2"/>
    <w:rsid w:val="00913F3A"/>
    <w:rsid w:val="00914ABA"/>
    <w:rsid w:val="00914F6F"/>
    <w:rsid w:val="009152F1"/>
    <w:rsid w:val="00915D99"/>
    <w:rsid w:val="00915E60"/>
    <w:rsid w:val="009164DC"/>
    <w:rsid w:val="00916B0E"/>
    <w:rsid w:val="00916E7E"/>
    <w:rsid w:val="00917026"/>
    <w:rsid w:val="0091720C"/>
    <w:rsid w:val="009172BA"/>
    <w:rsid w:val="009178C5"/>
    <w:rsid w:val="00917EA7"/>
    <w:rsid w:val="0092040B"/>
    <w:rsid w:val="00921003"/>
    <w:rsid w:val="00921E18"/>
    <w:rsid w:val="00922DCD"/>
    <w:rsid w:val="00923A6F"/>
    <w:rsid w:val="00923DF2"/>
    <w:rsid w:val="00924FD2"/>
    <w:rsid w:val="00925624"/>
    <w:rsid w:val="0092686C"/>
    <w:rsid w:val="00926D17"/>
    <w:rsid w:val="0092785B"/>
    <w:rsid w:val="00930159"/>
    <w:rsid w:val="00930323"/>
    <w:rsid w:val="0093034C"/>
    <w:rsid w:val="00930F1D"/>
    <w:rsid w:val="00931241"/>
    <w:rsid w:val="0093141A"/>
    <w:rsid w:val="009315B7"/>
    <w:rsid w:val="00931D00"/>
    <w:rsid w:val="00932621"/>
    <w:rsid w:val="0093262C"/>
    <w:rsid w:val="00932B67"/>
    <w:rsid w:val="00934A38"/>
    <w:rsid w:val="00934CB0"/>
    <w:rsid w:val="00935C0D"/>
    <w:rsid w:val="009360C2"/>
    <w:rsid w:val="00936B97"/>
    <w:rsid w:val="00936FB2"/>
    <w:rsid w:val="00937413"/>
    <w:rsid w:val="00940439"/>
    <w:rsid w:val="00940533"/>
    <w:rsid w:val="00940E93"/>
    <w:rsid w:val="00941422"/>
    <w:rsid w:val="0094163C"/>
    <w:rsid w:val="00941B5A"/>
    <w:rsid w:val="00942700"/>
    <w:rsid w:val="00942BFC"/>
    <w:rsid w:val="00943079"/>
    <w:rsid w:val="00943549"/>
    <w:rsid w:val="0094355E"/>
    <w:rsid w:val="00943D32"/>
    <w:rsid w:val="0094478B"/>
    <w:rsid w:val="0094479B"/>
    <w:rsid w:val="0094522B"/>
    <w:rsid w:val="00945864"/>
    <w:rsid w:val="00945FE7"/>
    <w:rsid w:val="00951025"/>
    <w:rsid w:val="00951916"/>
    <w:rsid w:val="00951AA7"/>
    <w:rsid w:val="00951CF8"/>
    <w:rsid w:val="0095261D"/>
    <w:rsid w:val="00952B24"/>
    <w:rsid w:val="00953AE2"/>
    <w:rsid w:val="009544C0"/>
    <w:rsid w:val="009546BA"/>
    <w:rsid w:val="00954E7A"/>
    <w:rsid w:val="00955499"/>
    <w:rsid w:val="00955816"/>
    <w:rsid w:val="0095595B"/>
    <w:rsid w:val="00955E22"/>
    <w:rsid w:val="00955F92"/>
    <w:rsid w:val="0095666F"/>
    <w:rsid w:val="00956772"/>
    <w:rsid w:val="009571FA"/>
    <w:rsid w:val="009572E5"/>
    <w:rsid w:val="00960642"/>
    <w:rsid w:val="009607A2"/>
    <w:rsid w:val="00960D1E"/>
    <w:rsid w:val="00960E66"/>
    <w:rsid w:val="0096221F"/>
    <w:rsid w:val="0096249D"/>
    <w:rsid w:val="00963212"/>
    <w:rsid w:val="00964022"/>
    <w:rsid w:val="0096460B"/>
    <w:rsid w:val="0096462F"/>
    <w:rsid w:val="00964B85"/>
    <w:rsid w:val="00964BAF"/>
    <w:rsid w:val="00965089"/>
    <w:rsid w:val="009657CF"/>
    <w:rsid w:val="00967CCF"/>
    <w:rsid w:val="00970112"/>
    <w:rsid w:val="00970158"/>
    <w:rsid w:val="009701B3"/>
    <w:rsid w:val="00970905"/>
    <w:rsid w:val="00970A91"/>
    <w:rsid w:val="00970D35"/>
    <w:rsid w:val="00970DF2"/>
    <w:rsid w:val="00970FF8"/>
    <w:rsid w:val="0097119C"/>
    <w:rsid w:val="009716B2"/>
    <w:rsid w:val="009717F4"/>
    <w:rsid w:val="0097225D"/>
    <w:rsid w:val="00972523"/>
    <w:rsid w:val="00972AED"/>
    <w:rsid w:val="009731E8"/>
    <w:rsid w:val="00973469"/>
    <w:rsid w:val="00973794"/>
    <w:rsid w:val="00973929"/>
    <w:rsid w:val="00973939"/>
    <w:rsid w:val="009740D5"/>
    <w:rsid w:val="00975197"/>
    <w:rsid w:val="00975D72"/>
    <w:rsid w:val="00975EE9"/>
    <w:rsid w:val="0097643E"/>
    <w:rsid w:val="00976B95"/>
    <w:rsid w:val="009771AF"/>
    <w:rsid w:val="0098069D"/>
    <w:rsid w:val="00980804"/>
    <w:rsid w:val="0098122A"/>
    <w:rsid w:val="00981557"/>
    <w:rsid w:val="00981620"/>
    <w:rsid w:val="009817B2"/>
    <w:rsid w:val="00981B64"/>
    <w:rsid w:val="00981BEB"/>
    <w:rsid w:val="00981E59"/>
    <w:rsid w:val="009820BA"/>
    <w:rsid w:val="00982758"/>
    <w:rsid w:val="00982C8E"/>
    <w:rsid w:val="00983022"/>
    <w:rsid w:val="00983069"/>
    <w:rsid w:val="00983499"/>
    <w:rsid w:val="0098408D"/>
    <w:rsid w:val="009842B3"/>
    <w:rsid w:val="009842D8"/>
    <w:rsid w:val="00984E84"/>
    <w:rsid w:val="0098560B"/>
    <w:rsid w:val="00985D46"/>
    <w:rsid w:val="009862DD"/>
    <w:rsid w:val="009869EE"/>
    <w:rsid w:val="00986D51"/>
    <w:rsid w:val="009870B0"/>
    <w:rsid w:val="0098778F"/>
    <w:rsid w:val="009878BF"/>
    <w:rsid w:val="009900CE"/>
    <w:rsid w:val="0099012F"/>
    <w:rsid w:val="00990C55"/>
    <w:rsid w:val="009917BB"/>
    <w:rsid w:val="00991DF6"/>
    <w:rsid w:val="00991F38"/>
    <w:rsid w:val="0099227A"/>
    <w:rsid w:val="00992309"/>
    <w:rsid w:val="00992D1D"/>
    <w:rsid w:val="00993009"/>
    <w:rsid w:val="00994382"/>
    <w:rsid w:val="0099496E"/>
    <w:rsid w:val="00994CCF"/>
    <w:rsid w:val="00994EB9"/>
    <w:rsid w:val="00994F96"/>
    <w:rsid w:val="009959FA"/>
    <w:rsid w:val="0099609E"/>
    <w:rsid w:val="00996A9C"/>
    <w:rsid w:val="009A013A"/>
    <w:rsid w:val="009A0143"/>
    <w:rsid w:val="009A02E2"/>
    <w:rsid w:val="009A040D"/>
    <w:rsid w:val="009A04BA"/>
    <w:rsid w:val="009A05C6"/>
    <w:rsid w:val="009A0BD7"/>
    <w:rsid w:val="009A0C09"/>
    <w:rsid w:val="009A0C10"/>
    <w:rsid w:val="009A0D46"/>
    <w:rsid w:val="009A0F79"/>
    <w:rsid w:val="009A1C7B"/>
    <w:rsid w:val="009A2A8A"/>
    <w:rsid w:val="009A2E7A"/>
    <w:rsid w:val="009A3048"/>
    <w:rsid w:val="009A3125"/>
    <w:rsid w:val="009A340B"/>
    <w:rsid w:val="009A39E1"/>
    <w:rsid w:val="009A422A"/>
    <w:rsid w:val="009A4A13"/>
    <w:rsid w:val="009A509D"/>
    <w:rsid w:val="009A5699"/>
    <w:rsid w:val="009A593C"/>
    <w:rsid w:val="009A5A38"/>
    <w:rsid w:val="009A5A43"/>
    <w:rsid w:val="009A6A4A"/>
    <w:rsid w:val="009A7438"/>
    <w:rsid w:val="009A752A"/>
    <w:rsid w:val="009A7723"/>
    <w:rsid w:val="009B07D7"/>
    <w:rsid w:val="009B0AF2"/>
    <w:rsid w:val="009B0B35"/>
    <w:rsid w:val="009B127B"/>
    <w:rsid w:val="009B176F"/>
    <w:rsid w:val="009B1D2C"/>
    <w:rsid w:val="009B22D3"/>
    <w:rsid w:val="009B36AE"/>
    <w:rsid w:val="009B3DBC"/>
    <w:rsid w:val="009B4019"/>
    <w:rsid w:val="009B4041"/>
    <w:rsid w:val="009B4276"/>
    <w:rsid w:val="009B471D"/>
    <w:rsid w:val="009B596B"/>
    <w:rsid w:val="009B5C18"/>
    <w:rsid w:val="009B5E36"/>
    <w:rsid w:val="009B5E6C"/>
    <w:rsid w:val="009B6636"/>
    <w:rsid w:val="009B6C5A"/>
    <w:rsid w:val="009B73C0"/>
    <w:rsid w:val="009C06B3"/>
    <w:rsid w:val="009C0756"/>
    <w:rsid w:val="009C0A7F"/>
    <w:rsid w:val="009C1A4A"/>
    <w:rsid w:val="009C1FCB"/>
    <w:rsid w:val="009C2923"/>
    <w:rsid w:val="009C2A76"/>
    <w:rsid w:val="009C2ACF"/>
    <w:rsid w:val="009C3999"/>
    <w:rsid w:val="009C40DC"/>
    <w:rsid w:val="009C5D29"/>
    <w:rsid w:val="009C645F"/>
    <w:rsid w:val="009C6718"/>
    <w:rsid w:val="009C6CAF"/>
    <w:rsid w:val="009C7393"/>
    <w:rsid w:val="009D0765"/>
    <w:rsid w:val="009D0AD7"/>
    <w:rsid w:val="009D0B52"/>
    <w:rsid w:val="009D11FA"/>
    <w:rsid w:val="009D1809"/>
    <w:rsid w:val="009D19C1"/>
    <w:rsid w:val="009D2111"/>
    <w:rsid w:val="009D2317"/>
    <w:rsid w:val="009D2435"/>
    <w:rsid w:val="009D26D5"/>
    <w:rsid w:val="009D2877"/>
    <w:rsid w:val="009D2CFB"/>
    <w:rsid w:val="009D3346"/>
    <w:rsid w:val="009D3EE8"/>
    <w:rsid w:val="009D3F2A"/>
    <w:rsid w:val="009D4302"/>
    <w:rsid w:val="009D4739"/>
    <w:rsid w:val="009D4E02"/>
    <w:rsid w:val="009D5E6F"/>
    <w:rsid w:val="009D6311"/>
    <w:rsid w:val="009D6DB4"/>
    <w:rsid w:val="009D75F8"/>
    <w:rsid w:val="009D7B3F"/>
    <w:rsid w:val="009D7FBD"/>
    <w:rsid w:val="009E00D9"/>
    <w:rsid w:val="009E034E"/>
    <w:rsid w:val="009E095E"/>
    <w:rsid w:val="009E0CF3"/>
    <w:rsid w:val="009E1370"/>
    <w:rsid w:val="009E1750"/>
    <w:rsid w:val="009E204B"/>
    <w:rsid w:val="009E21E8"/>
    <w:rsid w:val="009E2555"/>
    <w:rsid w:val="009E28EF"/>
    <w:rsid w:val="009E2F47"/>
    <w:rsid w:val="009E352C"/>
    <w:rsid w:val="009E3806"/>
    <w:rsid w:val="009E3A1B"/>
    <w:rsid w:val="009E452F"/>
    <w:rsid w:val="009E4B2C"/>
    <w:rsid w:val="009E4DDE"/>
    <w:rsid w:val="009E4E00"/>
    <w:rsid w:val="009E4FE3"/>
    <w:rsid w:val="009E585B"/>
    <w:rsid w:val="009E59F3"/>
    <w:rsid w:val="009E632E"/>
    <w:rsid w:val="009E6F29"/>
    <w:rsid w:val="009E7233"/>
    <w:rsid w:val="009E7BC2"/>
    <w:rsid w:val="009E7CCF"/>
    <w:rsid w:val="009F0356"/>
    <w:rsid w:val="009F1027"/>
    <w:rsid w:val="009F1108"/>
    <w:rsid w:val="009F137D"/>
    <w:rsid w:val="009F17D5"/>
    <w:rsid w:val="009F18E8"/>
    <w:rsid w:val="009F3E8B"/>
    <w:rsid w:val="009F44F0"/>
    <w:rsid w:val="009F4B4D"/>
    <w:rsid w:val="009F4D8E"/>
    <w:rsid w:val="009F4E03"/>
    <w:rsid w:val="009F4FF1"/>
    <w:rsid w:val="009F6314"/>
    <w:rsid w:val="009F66EF"/>
    <w:rsid w:val="009F756B"/>
    <w:rsid w:val="009F7BF1"/>
    <w:rsid w:val="009F7F25"/>
    <w:rsid w:val="00A0078B"/>
    <w:rsid w:val="00A00A00"/>
    <w:rsid w:val="00A021C4"/>
    <w:rsid w:val="00A02243"/>
    <w:rsid w:val="00A02B61"/>
    <w:rsid w:val="00A0318B"/>
    <w:rsid w:val="00A03675"/>
    <w:rsid w:val="00A03831"/>
    <w:rsid w:val="00A044E4"/>
    <w:rsid w:val="00A046DA"/>
    <w:rsid w:val="00A048CC"/>
    <w:rsid w:val="00A04DCA"/>
    <w:rsid w:val="00A05062"/>
    <w:rsid w:val="00A058EE"/>
    <w:rsid w:val="00A0609A"/>
    <w:rsid w:val="00A0630C"/>
    <w:rsid w:val="00A06440"/>
    <w:rsid w:val="00A0644E"/>
    <w:rsid w:val="00A065D9"/>
    <w:rsid w:val="00A066B7"/>
    <w:rsid w:val="00A06A3B"/>
    <w:rsid w:val="00A06EFE"/>
    <w:rsid w:val="00A075DB"/>
    <w:rsid w:val="00A0796E"/>
    <w:rsid w:val="00A101A5"/>
    <w:rsid w:val="00A108F7"/>
    <w:rsid w:val="00A10B0A"/>
    <w:rsid w:val="00A1101A"/>
    <w:rsid w:val="00A11049"/>
    <w:rsid w:val="00A12B5E"/>
    <w:rsid w:val="00A12CD5"/>
    <w:rsid w:val="00A138B0"/>
    <w:rsid w:val="00A13ECF"/>
    <w:rsid w:val="00A14AF9"/>
    <w:rsid w:val="00A16246"/>
    <w:rsid w:val="00A1653D"/>
    <w:rsid w:val="00A167CE"/>
    <w:rsid w:val="00A16AE9"/>
    <w:rsid w:val="00A16B4E"/>
    <w:rsid w:val="00A16BCE"/>
    <w:rsid w:val="00A16DA5"/>
    <w:rsid w:val="00A17C7E"/>
    <w:rsid w:val="00A17FA8"/>
    <w:rsid w:val="00A17FAD"/>
    <w:rsid w:val="00A214A4"/>
    <w:rsid w:val="00A22170"/>
    <w:rsid w:val="00A22631"/>
    <w:rsid w:val="00A22B90"/>
    <w:rsid w:val="00A232F5"/>
    <w:rsid w:val="00A2345B"/>
    <w:rsid w:val="00A2357D"/>
    <w:rsid w:val="00A23EAE"/>
    <w:rsid w:val="00A24A44"/>
    <w:rsid w:val="00A24F12"/>
    <w:rsid w:val="00A251F4"/>
    <w:rsid w:val="00A253A4"/>
    <w:rsid w:val="00A25516"/>
    <w:rsid w:val="00A25926"/>
    <w:rsid w:val="00A25A22"/>
    <w:rsid w:val="00A25B24"/>
    <w:rsid w:val="00A25D94"/>
    <w:rsid w:val="00A261BF"/>
    <w:rsid w:val="00A262C2"/>
    <w:rsid w:val="00A2642A"/>
    <w:rsid w:val="00A27217"/>
    <w:rsid w:val="00A27730"/>
    <w:rsid w:val="00A30269"/>
    <w:rsid w:val="00A305D5"/>
    <w:rsid w:val="00A31262"/>
    <w:rsid w:val="00A31D51"/>
    <w:rsid w:val="00A31EAE"/>
    <w:rsid w:val="00A32397"/>
    <w:rsid w:val="00A33984"/>
    <w:rsid w:val="00A33A86"/>
    <w:rsid w:val="00A3465D"/>
    <w:rsid w:val="00A34BB9"/>
    <w:rsid w:val="00A35242"/>
    <w:rsid w:val="00A35848"/>
    <w:rsid w:val="00A35B9A"/>
    <w:rsid w:val="00A35D0A"/>
    <w:rsid w:val="00A3677D"/>
    <w:rsid w:val="00A36955"/>
    <w:rsid w:val="00A36A3A"/>
    <w:rsid w:val="00A379CE"/>
    <w:rsid w:val="00A37D46"/>
    <w:rsid w:val="00A37ED0"/>
    <w:rsid w:val="00A400F7"/>
    <w:rsid w:val="00A4038D"/>
    <w:rsid w:val="00A40806"/>
    <w:rsid w:val="00A40937"/>
    <w:rsid w:val="00A40D40"/>
    <w:rsid w:val="00A41A5D"/>
    <w:rsid w:val="00A4277F"/>
    <w:rsid w:val="00A43190"/>
    <w:rsid w:val="00A43BE8"/>
    <w:rsid w:val="00A4446F"/>
    <w:rsid w:val="00A44AF1"/>
    <w:rsid w:val="00A44BB5"/>
    <w:rsid w:val="00A44C56"/>
    <w:rsid w:val="00A4546A"/>
    <w:rsid w:val="00A454A6"/>
    <w:rsid w:val="00A45648"/>
    <w:rsid w:val="00A46ACB"/>
    <w:rsid w:val="00A47731"/>
    <w:rsid w:val="00A47C86"/>
    <w:rsid w:val="00A503E6"/>
    <w:rsid w:val="00A51041"/>
    <w:rsid w:val="00A5127C"/>
    <w:rsid w:val="00A5146A"/>
    <w:rsid w:val="00A51A15"/>
    <w:rsid w:val="00A51D7F"/>
    <w:rsid w:val="00A51F63"/>
    <w:rsid w:val="00A523A3"/>
    <w:rsid w:val="00A525E9"/>
    <w:rsid w:val="00A52C5C"/>
    <w:rsid w:val="00A52F34"/>
    <w:rsid w:val="00A5364B"/>
    <w:rsid w:val="00A53717"/>
    <w:rsid w:val="00A53EC2"/>
    <w:rsid w:val="00A540FE"/>
    <w:rsid w:val="00A542A9"/>
    <w:rsid w:val="00A5514E"/>
    <w:rsid w:val="00A5580A"/>
    <w:rsid w:val="00A55A2E"/>
    <w:rsid w:val="00A56670"/>
    <w:rsid w:val="00A566CB"/>
    <w:rsid w:val="00A5672D"/>
    <w:rsid w:val="00A57603"/>
    <w:rsid w:val="00A57BE9"/>
    <w:rsid w:val="00A60D49"/>
    <w:rsid w:val="00A61662"/>
    <w:rsid w:val="00A61DF1"/>
    <w:rsid w:val="00A6267C"/>
    <w:rsid w:val="00A635CB"/>
    <w:rsid w:val="00A6446E"/>
    <w:rsid w:val="00A646BD"/>
    <w:rsid w:val="00A64E07"/>
    <w:rsid w:val="00A64E7C"/>
    <w:rsid w:val="00A64EE0"/>
    <w:rsid w:val="00A65047"/>
    <w:rsid w:val="00A65209"/>
    <w:rsid w:val="00A6526E"/>
    <w:rsid w:val="00A65403"/>
    <w:rsid w:val="00A65699"/>
    <w:rsid w:val="00A657F7"/>
    <w:rsid w:val="00A6594C"/>
    <w:rsid w:val="00A65A93"/>
    <w:rsid w:val="00A65B17"/>
    <w:rsid w:val="00A65EFF"/>
    <w:rsid w:val="00A66649"/>
    <w:rsid w:val="00A66E89"/>
    <w:rsid w:val="00A67245"/>
    <w:rsid w:val="00A67251"/>
    <w:rsid w:val="00A674ED"/>
    <w:rsid w:val="00A70015"/>
    <w:rsid w:val="00A70144"/>
    <w:rsid w:val="00A70189"/>
    <w:rsid w:val="00A706AE"/>
    <w:rsid w:val="00A7095B"/>
    <w:rsid w:val="00A7098A"/>
    <w:rsid w:val="00A71F97"/>
    <w:rsid w:val="00A727A3"/>
    <w:rsid w:val="00A7296A"/>
    <w:rsid w:val="00A72A48"/>
    <w:rsid w:val="00A7333A"/>
    <w:rsid w:val="00A73FD5"/>
    <w:rsid w:val="00A74A9C"/>
    <w:rsid w:val="00A74B3B"/>
    <w:rsid w:val="00A751DB"/>
    <w:rsid w:val="00A752F9"/>
    <w:rsid w:val="00A754AB"/>
    <w:rsid w:val="00A759ED"/>
    <w:rsid w:val="00A75F84"/>
    <w:rsid w:val="00A76330"/>
    <w:rsid w:val="00A76A44"/>
    <w:rsid w:val="00A76F65"/>
    <w:rsid w:val="00A776AA"/>
    <w:rsid w:val="00A77D95"/>
    <w:rsid w:val="00A8021D"/>
    <w:rsid w:val="00A814A6"/>
    <w:rsid w:val="00A81D1C"/>
    <w:rsid w:val="00A81F31"/>
    <w:rsid w:val="00A820B4"/>
    <w:rsid w:val="00A82799"/>
    <w:rsid w:val="00A82A96"/>
    <w:rsid w:val="00A83B8E"/>
    <w:rsid w:val="00A84227"/>
    <w:rsid w:val="00A844AC"/>
    <w:rsid w:val="00A84CAC"/>
    <w:rsid w:val="00A84ED2"/>
    <w:rsid w:val="00A85101"/>
    <w:rsid w:val="00A8531E"/>
    <w:rsid w:val="00A855A1"/>
    <w:rsid w:val="00A856A2"/>
    <w:rsid w:val="00A862D3"/>
    <w:rsid w:val="00A86653"/>
    <w:rsid w:val="00A86DB5"/>
    <w:rsid w:val="00A87A53"/>
    <w:rsid w:val="00A87D76"/>
    <w:rsid w:val="00A90AC2"/>
    <w:rsid w:val="00A91C52"/>
    <w:rsid w:val="00A933B9"/>
    <w:rsid w:val="00A94601"/>
    <w:rsid w:val="00A946AC"/>
    <w:rsid w:val="00A94DA1"/>
    <w:rsid w:val="00A950A7"/>
    <w:rsid w:val="00A95EDF"/>
    <w:rsid w:val="00A963B6"/>
    <w:rsid w:val="00A974F1"/>
    <w:rsid w:val="00A97830"/>
    <w:rsid w:val="00A97C0D"/>
    <w:rsid w:val="00A97E93"/>
    <w:rsid w:val="00AA03A1"/>
    <w:rsid w:val="00AA072E"/>
    <w:rsid w:val="00AA08CB"/>
    <w:rsid w:val="00AA1891"/>
    <w:rsid w:val="00AA21D4"/>
    <w:rsid w:val="00AA24D7"/>
    <w:rsid w:val="00AA2FDD"/>
    <w:rsid w:val="00AA30F4"/>
    <w:rsid w:val="00AA3815"/>
    <w:rsid w:val="00AA3D31"/>
    <w:rsid w:val="00AA3EAB"/>
    <w:rsid w:val="00AA3FFB"/>
    <w:rsid w:val="00AA4B14"/>
    <w:rsid w:val="00AA4C6C"/>
    <w:rsid w:val="00AA4F22"/>
    <w:rsid w:val="00AA5627"/>
    <w:rsid w:val="00AA57C0"/>
    <w:rsid w:val="00AA5E64"/>
    <w:rsid w:val="00AA6493"/>
    <w:rsid w:val="00AA6670"/>
    <w:rsid w:val="00AA6A21"/>
    <w:rsid w:val="00AA750C"/>
    <w:rsid w:val="00AA7CD6"/>
    <w:rsid w:val="00AA7F64"/>
    <w:rsid w:val="00AB00C6"/>
    <w:rsid w:val="00AB0319"/>
    <w:rsid w:val="00AB0354"/>
    <w:rsid w:val="00AB05AD"/>
    <w:rsid w:val="00AB0985"/>
    <w:rsid w:val="00AB0AE8"/>
    <w:rsid w:val="00AB1040"/>
    <w:rsid w:val="00AB1148"/>
    <w:rsid w:val="00AB174B"/>
    <w:rsid w:val="00AB1985"/>
    <w:rsid w:val="00AB1A83"/>
    <w:rsid w:val="00AB1AAD"/>
    <w:rsid w:val="00AB1BD8"/>
    <w:rsid w:val="00AB2A74"/>
    <w:rsid w:val="00AB2FD0"/>
    <w:rsid w:val="00AB3683"/>
    <w:rsid w:val="00AB3880"/>
    <w:rsid w:val="00AB4127"/>
    <w:rsid w:val="00AB42BE"/>
    <w:rsid w:val="00AB495E"/>
    <w:rsid w:val="00AB4F1C"/>
    <w:rsid w:val="00AB5473"/>
    <w:rsid w:val="00AB54B4"/>
    <w:rsid w:val="00AB64DE"/>
    <w:rsid w:val="00AB6AD5"/>
    <w:rsid w:val="00AB74C7"/>
    <w:rsid w:val="00AB7AA2"/>
    <w:rsid w:val="00AB7F4F"/>
    <w:rsid w:val="00AC05AA"/>
    <w:rsid w:val="00AC0890"/>
    <w:rsid w:val="00AC0BB4"/>
    <w:rsid w:val="00AC0CD7"/>
    <w:rsid w:val="00AC0FC9"/>
    <w:rsid w:val="00AC1D5C"/>
    <w:rsid w:val="00AC1E30"/>
    <w:rsid w:val="00AC27EE"/>
    <w:rsid w:val="00AC2D6D"/>
    <w:rsid w:val="00AC3500"/>
    <w:rsid w:val="00AC356C"/>
    <w:rsid w:val="00AC373B"/>
    <w:rsid w:val="00AC3D44"/>
    <w:rsid w:val="00AC3E09"/>
    <w:rsid w:val="00AC413C"/>
    <w:rsid w:val="00AC4580"/>
    <w:rsid w:val="00AC4770"/>
    <w:rsid w:val="00AC4916"/>
    <w:rsid w:val="00AC4DB8"/>
    <w:rsid w:val="00AC5399"/>
    <w:rsid w:val="00AC55AF"/>
    <w:rsid w:val="00AC5D33"/>
    <w:rsid w:val="00AC6A53"/>
    <w:rsid w:val="00AC6AF1"/>
    <w:rsid w:val="00AC6E5C"/>
    <w:rsid w:val="00AC738F"/>
    <w:rsid w:val="00AC77F4"/>
    <w:rsid w:val="00AD0577"/>
    <w:rsid w:val="00AD0751"/>
    <w:rsid w:val="00AD07CB"/>
    <w:rsid w:val="00AD0B05"/>
    <w:rsid w:val="00AD0C1C"/>
    <w:rsid w:val="00AD0C2B"/>
    <w:rsid w:val="00AD1999"/>
    <w:rsid w:val="00AD19F7"/>
    <w:rsid w:val="00AD1CD9"/>
    <w:rsid w:val="00AD1D75"/>
    <w:rsid w:val="00AD3CB7"/>
    <w:rsid w:val="00AD3F3B"/>
    <w:rsid w:val="00AD47B1"/>
    <w:rsid w:val="00AD4803"/>
    <w:rsid w:val="00AD498A"/>
    <w:rsid w:val="00AD55EA"/>
    <w:rsid w:val="00AD5AB2"/>
    <w:rsid w:val="00AD5AD9"/>
    <w:rsid w:val="00AD5CBC"/>
    <w:rsid w:val="00AD600C"/>
    <w:rsid w:val="00AD61CD"/>
    <w:rsid w:val="00AD68B6"/>
    <w:rsid w:val="00AD6C4D"/>
    <w:rsid w:val="00AD6CA8"/>
    <w:rsid w:val="00AD7465"/>
    <w:rsid w:val="00AD7DAC"/>
    <w:rsid w:val="00AE16AF"/>
    <w:rsid w:val="00AE16B6"/>
    <w:rsid w:val="00AE1BF5"/>
    <w:rsid w:val="00AE1E02"/>
    <w:rsid w:val="00AE2A26"/>
    <w:rsid w:val="00AE36DC"/>
    <w:rsid w:val="00AE3C1B"/>
    <w:rsid w:val="00AE3DBF"/>
    <w:rsid w:val="00AE3DFC"/>
    <w:rsid w:val="00AE5B8A"/>
    <w:rsid w:val="00AE6185"/>
    <w:rsid w:val="00AE6475"/>
    <w:rsid w:val="00AE6A56"/>
    <w:rsid w:val="00AE7021"/>
    <w:rsid w:val="00AF0526"/>
    <w:rsid w:val="00AF05CB"/>
    <w:rsid w:val="00AF0654"/>
    <w:rsid w:val="00AF090E"/>
    <w:rsid w:val="00AF0F77"/>
    <w:rsid w:val="00AF1382"/>
    <w:rsid w:val="00AF1511"/>
    <w:rsid w:val="00AF29F5"/>
    <w:rsid w:val="00AF2D93"/>
    <w:rsid w:val="00AF2E32"/>
    <w:rsid w:val="00AF2ECB"/>
    <w:rsid w:val="00AF36A4"/>
    <w:rsid w:val="00AF3CAA"/>
    <w:rsid w:val="00AF418D"/>
    <w:rsid w:val="00AF48E6"/>
    <w:rsid w:val="00AF552C"/>
    <w:rsid w:val="00AF55EB"/>
    <w:rsid w:val="00AF56F8"/>
    <w:rsid w:val="00AF5BBC"/>
    <w:rsid w:val="00AF5E6C"/>
    <w:rsid w:val="00AF735C"/>
    <w:rsid w:val="00B0017A"/>
    <w:rsid w:val="00B007BC"/>
    <w:rsid w:val="00B00BF3"/>
    <w:rsid w:val="00B01699"/>
    <w:rsid w:val="00B016B1"/>
    <w:rsid w:val="00B01DB5"/>
    <w:rsid w:val="00B03040"/>
    <w:rsid w:val="00B0336F"/>
    <w:rsid w:val="00B03869"/>
    <w:rsid w:val="00B040FE"/>
    <w:rsid w:val="00B0424F"/>
    <w:rsid w:val="00B04CFB"/>
    <w:rsid w:val="00B053F8"/>
    <w:rsid w:val="00B059FB"/>
    <w:rsid w:val="00B05D3E"/>
    <w:rsid w:val="00B05E6B"/>
    <w:rsid w:val="00B061CF"/>
    <w:rsid w:val="00B06C08"/>
    <w:rsid w:val="00B07020"/>
    <w:rsid w:val="00B07E2A"/>
    <w:rsid w:val="00B07E2B"/>
    <w:rsid w:val="00B10DFA"/>
    <w:rsid w:val="00B10E6E"/>
    <w:rsid w:val="00B11170"/>
    <w:rsid w:val="00B1167F"/>
    <w:rsid w:val="00B12807"/>
    <w:rsid w:val="00B129E4"/>
    <w:rsid w:val="00B12AE5"/>
    <w:rsid w:val="00B12F29"/>
    <w:rsid w:val="00B1335D"/>
    <w:rsid w:val="00B1377C"/>
    <w:rsid w:val="00B13EC5"/>
    <w:rsid w:val="00B14786"/>
    <w:rsid w:val="00B147B3"/>
    <w:rsid w:val="00B14C4E"/>
    <w:rsid w:val="00B14DAA"/>
    <w:rsid w:val="00B152E7"/>
    <w:rsid w:val="00B15675"/>
    <w:rsid w:val="00B15688"/>
    <w:rsid w:val="00B15BF4"/>
    <w:rsid w:val="00B163A5"/>
    <w:rsid w:val="00B16B36"/>
    <w:rsid w:val="00B16D63"/>
    <w:rsid w:val="00B17423"/>
    <w:rsid w:val="00B17934"/>
    <w:rsid w:val="00B17E10"/>
    <w:rsid w:val="00B17F4A"/>
    <w:rsid w:val="00B20C3A"/>
    <w:rsid w:val="00B214DC"/>
    <w:rsid w:val="00B2166D"/>
    <w:rsid w:val="00B21F2E"/>
    <w:rsid w:val="00B21FE0"/>
    <w:rsid w:val="00B220C5"/>
    <w:rsid w:val="00B22438"/>
    <w:rsid w:val="00B226C5"/>
    <w:rsid w:val="00B22715"/>
    <w:rsid w:val="00B22BF6"/>
    <w:rsid w:val="00B237EE"/>
    <w:rsid w:val="00B23A85"/>
    <w:rsid w:val="00B24403"/>
    <w:rsid w:val="00B24AC6"/>
    <w:rsid w:val="00B25203"/>
    <w:rsid w:val="00B25233"/>
    <w:rsid w:val="00B256AA"/>
    <w:rsid w:val="00B256C3"/>
    <w:rsid w:val="00B258A7"/>
    <w:rsid w:val="00B26DFC"/>
    <w:rsid w:val="00B27FC8"/>
    <w:rsid w:val="00B30121"/>
    <w:rsid w:val="00B30384"/>
    <w:rsid w:val="00B30672"/>
    <w:rsid w:val="00B3080C"/>
    <w:rsid w:val="00B30C87"/>
    <w:rsid w:val="00B30E0E"/>
    <w:rsid w:val="00B3136E"/>
    <w:rsid w:val="00B31EE9"/>
    <w:rsid w:val="00B32415"/>
    <w:rsid w:val="00B32474"/>
    <w:rsid w:val="00B33E44"/>
    <w:rsid w:val="00B33F44"/>
    <w:rsid w:val="00B35184"/>
    <w:rsid w:val="00B36023"/>
    <w:rsid w:val="00B3636A"/>
    <w:rsid w:val="00B36ACE"/>
    <w:rsid w:val="00B36EC5"/>
    <w:rsid w:val="00B37A7A"/>
    <w:rsid w:val="00B37C65"/>
    <w:rsid w:val="00B40900"/>
    <w:rsid w:val="00B41024"/>
    <w:rsid w:val="00B41941"/>
    <w:rsid w:val="00B41BAC"/>
    <w:rsid w:val="00B41C1C"/>
    <w:rsid w:val="00B41FE8"/>
    <w:rsid w:val="00B422CB"/>
    <w:rsid w:val="00B42C4E"/>
    <w:rsid w:val="00B42CD7"/>
    <w:rsid w:val="00B430E1"/>
    <w:rsid w:val="00B43EB5"/>
    <w:rsid w:val="00B440BB"/>
    <w:rsid w:val="00B440C1"/>
    <w:rsid w:val="00B44513"/>
    <w:rsid w:val="00B44D04"/>
    <w:rsid w:val="00B453FA"/>
    <w:rsid w:val="00B4565D"/>
    <w:rsid w:val="00B45EDD"/>
    <w:rsid w:val="00B46262"/>
    <w:rsid w:val="00B4640A"/>
    <w:rsid w:val="00B46558"/>
    <w:rsid w:val="00B4681B"/>
    <w:rsid w:val="00B46931"/>
    <w:rsid w:val="00B47B94"/>
    <w:rsid w:val="00B5078C"/>
    <w:rsid w:val="00B50D8F"/>
    <w:rsid w:val="00B51261"/>
    <w:rsid w:val="00B51F6A"/>
    <w:rsid w:val="00B5215D"/>
    <w:rsid w:val="00B523E0"/>
    <w:rsid w:val="00B52A66"/>
    <w:rsid w:val="00B54118"/>
    <w:rsid w:val="00B54129"/>
    <w:rsid w:val="00B54182"/>
    <w:rsid w:val="00B54F12"/>
    <w:rsid w:val="00B5530D"/>
    <w:rsid w:val="00B554F7"/>
    <w:rsid w:val="00B5568E"/>
    <w:rsid w:val="00B55B11"/>
    <w:rsid w:val="00B55BAA"/>
    <w:rsid w:val="00B55D15"/>
    <w:rsid w:val="00B55E2B"/>
    <w:rsid w:val="00B55FF8"/>
    <w:rsid w:val="00B568E3"/>
    <w:rsid w:val="00B56A2D"/>
    <w:rsid w:val="00B56DA3"/>
    <w:rsid w:val="00B578FE"/>
    <w:rsid w:val="00B57CFD"/>
    <w:rsid w:val="00B60E4E"/>
    <w:rsid w:val="00B61181"/>
    <w:rsid w:val="00B619E6"/>
    <w:rsid w:val="00B626B6"/>
    <w:rsid w:val="00B62B43"/>
    <w:rsid w:val="00B63349"/>
    <w:rsid w:val="00B64656"/>
    <w:rsid w:val="00B6471C"/>
    <w:rsid w:val="00B64C6F"/>
    <w:rsid w:val="00B64E82"/>
    <w:rsid w:val="00B64F16"/>
    <w:rsid w:val="00B651BB"/>
    <w:rsid w:val="00B65328"/>
    <w:rsid w:val="00B65607"/>
    <w:rsid w:val="00B6588A"/>
    <w:rsid w:val="00B65B9E"/>
    <w:rsid w:val="00B65CE5"/>
    <w:rsid w:val="00B66427"/>
    <w:rsid w:val="00B67413"/>
    <w:rsid w:val="00B6749D"/>
    <w:rsid w:val="00B67C40"/>
    <w:rsid w:val="00B67EEE"/>
    <w:rsid w:val="00B7049E"/>
    <w:rsid w:val="00B70AE5"/>
    <w:rsid w:val="00B71920"/>
    <w:rsid w:val="00B71F01"/>
    <w:rsid w:val="00B72134"/>
    <w:rsid w:val="00B72418"/>
    <w:rsid w:val="00B72CB3"/>
    <w:rsid w:val="00B73B23"/>
    <w:rsid w:val="00B743F2"/>
    <w:rsid w:val="00B744AB"/>
    <w:rsid w:val="00B745C4"/>
    <w:rsid w:val="00B74E70"/>
    <w:rsid w:val="00B75172"/>
    <w:rsid w:val="00B7608D"/>
    <w:rsid w:val="00B76F23"/>
    <w:rsid w:val="00B77D0E"/>
    <w:rsid w:val="00B80E4F"/>
    <w:rsid w:val="00B8111F"/>
    <w:rsid w:val="00B81E21"/>
    <w:rsid w:val="00B82DE9"/>
    <w:rsid w:val="00B8345E"/>
    <w:rsid w:val="00B834AC"/>
    <w:rsid w:val="00B83CF3"/>
    <w:rsid w:val="00B84D0A"/>
    <w:rsid w:val="00B85888"/>
    <w:rsid w:val="00B8602B"/>
    <w:rsid w:val="00B86144"/>
    <w:rsid w:val="00B86E83"/>
    <w:rsid w:val="00B9052E"/>
    <w:rsid w:val="00B9103F"/>
    <w:rsid w:val="00B91AB1"/>
    <w:rsid w:val="00B91C33"/>
    <w:rsid w:val="00B92517"/>
    <w:rsid w:val="00B92A87"/>
    <w:rsid w:val="00B93EC8"/>
    <w:rsid w:val="00B94322"/>
    <w:rsid w:val="00B949E6"/>
    <w:rsid w:val="00B9582F"/>
    <w:rsid w:val="00B95BE5"/>
    <w:rsid w:val="00B95D78"/>
    <w:rsid w:val="00B96D68"/>
    <w:rsid w:val="00B97F99"/>
    <w:rsid w:val="00BA0118"/>
    <w:rsid w:val="00BA0243"/>
    <w:rsid w:val="00BA05B9"/>
    <w:rsid w:val="00BA2602"/>
    <w:rsid w:val="00BA2826"/>
    <w:rsid w:val="00BA3047"/>
    <w:rsid w:val="00BA33E3"/>
    <w:rsid w:val="00BA384B"/>
    <w:rsid w:val="00BA45D1"/>
    <w:rsid w:val="00BA4901"/>
    <w:rsid w:val="00BA4A57"/>
    <w:rsid w:val="00BA4BE6"/>
    <w:rsid w:val="00BA53A7"/>
    <w:rsid w:val="00BA6B65"/>
    <w:rsid w:val="00BA7C24"/>
    <w:rsid w:val="00BB07E8"/>
    <w:rsid w:val="00BB1367"/>
    <w:rsid w:val="00BB17C5"/>
    <w:rsid w:val="00BB3F2C"/>
    <w:rsid w:val="00BB4282"/>
    <w:rsid w:val="00BB445F"/>
    <w:rsid w:val="00BB4C19"/>
    <w:rsid w:val="00BB5044"/>
    <w:rsid w:val="00BB5FC3"/>
    <w:rsid w:val="00BB61AB"/>
    <w:rsid w:val="00BB6B59"/>
    <w:rsid w:val="00BB7893"/>
    <w:rsid w:val="00BB7A6C"/>
    <w:rsid w:val="00BB7A8A"/>
    <w:rsid w:val="00BC014A"/>
    <w:rsid w:val="00BC08DE"/>
    <w:rsid w:val="00BC0946"/>
    <w:rsid w:val="00BC0ADC"/>
    <w:rsid w:val="00BC0DEA"/>
    <w:rsid w:val="00BC1913"/>
    <w:rsid w:val="00BC1A2B"/>
    <w:rsid w:val="00BC1F41"/>
    <w:rsid w:val="00BC23AD"/>
    <w:rsid w:val="00BC27EF"/>
    <w:rsid w:val="00BC283E"/>
    <w:rsid w:val="00BC364C"/>
    <w:rsid w:val="00BC3B96"/>
    <w:rsid w:val="00BC44D9"/>
    <w:rsid w:val="00BC49A3"/>
    <w:rsid w:val="00BC4DB6"/>
    <w:rsid w:val="00BC502C"/>
    <w:rsid w:val="00BC5B34"/>
    <w:rsid w:val="00BC5E5B"/>
    <w:rsid w:val="00BC5E6E"/>
    <w:rsid w:val="00BC6186"/>
    <w:rsid w:val="00BC6839"/>
    <w:rsid w:val="00BC6EAC"/>
    <w:rsid w:val="00BC73FE"/>
    <w:rsid w:val="00BC78F9"/>
    <w:rsid w:val="00BD0130"/>
    <w:rsid w:val="00BD0472"/>
    <w:rsid w:val="00BD0A09"/>
    <w:rsid w:val="00BD1247"/>
    <w:rsid w:val="00BD145B"/>
    <w:rsid w:val="00BD1BB1"/>
    <w:rsid w:val="00BD1C29"/>
    <w:rsid w:val="00BD1D6E"/>
    <w:rsid w:val="00BD20B5"/>
    <w:rsid w:val="00BD3022"/>
    <w:rsid w:val="00BD3190"/>
    <w:rsid w:val="00BD33B0"/>
    <w:rsid w:val="00BD3A37"/>
    <w:rsid w:val="00BD3B9D"/>
    <w:rsid w:val="00BD41F6"/>
    <w:rsid w:val="00BD4401"/>
    <w:rsid w:val="00BD4C88"/>
    <w:rsid w:val="00BD5697"/>
    <w:rsid w:val="00BD5958"/>
    <w:rsid w:val="00BD618A"/>
    <w:rsid w:val="00BD6567"/>
    <w:rsid w:val="00BD69E5"/>
    <w:rsid w:val="00BD6A66"/>
    <w:rsid w:val="00BD6AEF"/>
    <w:rsid w:val="00BD6C2A"/>
    <w:rsid w:val="00BD75C9"/>
    <w:rsid w:val="00BD78A4"/>
    <w:rsid w:val="00BD7DAF"/>
    <w:rsid w:val="00BE078F"/>
    <w:rsid w:val="00BE0880"/>
    <w:rsid w:val="00BE112C"/>
    <w:rsid w:val="00BE1164"/>
    <w:rsid w:val="00BE260F"/>
    <w:rsid w:val="00BE2B2B"/>
    <w:rsid w:val="00BE2CE2"/>
    <w:rsid w:val="00BE2DBD"/>
    <w:rsid w:val="00BE31D3"/>
    <w:rsid w:val="00BE4717"/>
    <w:rsid w:val="00BE4839"/>
    <w:rsid w:val="00BE4C2D"/>
    <w:rsid w:val="00BE570F"/>
    <w:rsid w:val="00BE6E91"/>
    <w:rsid w:val="00BE7E90"/>
    <w:rsid w:val="00BF051F"/>
    <w:rsid w:val="00BF0E73"/>
    <w:rsid w:val="00BF0F99"/>
    <w:rsid w:val="00BF1786"/>
    <w:rsid w:val="00BF1A2F"/>
    <w:rsid w:val="00BF214F"/>
    <w:rsid w:val="00BF2226"/>
    <w:rsid w:val="00BF3350"/>
    <w:rsid w:val="00BF4407"/>
    <w:rsid w:val="00BF5186"/>
    <w:rsid w:val="00BF56DB"/>
    <w:rsid w:val="00BF57F9"/>
    <w:rsid w:val="00BF5CA7"/>
    <w:rsid w:val="00BF7508"/>
    <w:rsid w:val="00BF78F8"/>
    <w:rsid w:val="00BF7F28"/>
    <w:rsid w:val="00C0038D"/>
    <w:rsid w:val="00C00E2A"/>
    <w:rsid w:val="00C01136"/>
    <w:rsid w:val="00C01EE8"/>
    <w:rsid w:val="00C01F89"/>
    <w:rsid w:val="00C02391"/>
    <w:rsid w:val="00C0324A"/>
    <w:rsid w:val="00C04531"/>
    <w:rsid w:val="00C04C7A"/>
    <w:rsid w:val="00C05015"/>
    <w:rsid w:val="00C055C1"/>
    <w:rsid w:val="00C0584C"/>
    <w:rsid w:val="00C05963"/>
    <w:rsid w:val="00C05D8A"/>
    <w:rsid w:val="00C0677A"/>
    <w:rsid w:val="00C068F3"/>
    <w:rsid w:val="00C06B58"/>
    <w:rsid w:val="00C06C0A"/>
    <w:rsid w:val="00C06DA3"/>
    <w:rsid w:val="00C0755A"/>
    <w:rsid w:val="00C0778B"/>
    <w:rsid w:val="00C07961"/>
    <w:rsid w:val="00C079FB"/>
    <w:rsid w:val="00C07BBC"/>
    <w:rsid w:val="00C10843"/>
    <w:rsid w:val="00C10B83"/>
    <w:rsid w:val="00C10B85"/>
    <w:rsid w:val="00C10C2E"/>
    <w:rsid w:val="00C1154A"/>
    <w:rsid w:val="00C11598"/>
    <w:rsid w:val="00C115E2"/>
    <w:rsid w:val="00C12071"/>
    <w:rsid w:val="00C120CF"/>
    <w:rsid w:val="00C120F1"/>
    <w:rsid w:val="00C12374"/>
    <w:rsid w:val="00C12614"/>
    <w:rsid w:val="00C12928"/>
    <w:rsid w:val="00C12D10"/>
    <w:rsid w:val="00C12E4B"/>
    <w:rsid w:val="00C12E60"/>
    <w:rsid w:val="00C13DBE"/>
    <w:rsid w:val="00C1468B"/>
    <w:rsid w:val="00C14F33"/>
    <w:rsid w:val="00C152DA"/>
    <w:rsid w:val="00C157C6"/>
    <w:rsid w:val="00C1646F"/>
    <w:rsid w:val="00C16811"/>
    <w:rsid w:val="00C16B50"/>
    <w:rsid w:val="00C16FD7"/>
    <w:rsid w:val="00C20976"/>
    <w:rsid w:val="00C21281"/>
    <w:rsid w:val="00C212FB"/>
    <w:rsid w:val="00C21556"/>
    <w:rsid w:val="00C220FB"/>
    <w:rsid w:val="00C22150"/>
    <w:rsid w:val="00C2323C"/>
    <w:rsid w:val="00C236A1"/>
    <w:rsid w:val="00C23737"/>
    <w:rsid w:val="00C23D1B"/>
    <w:rsid w:val="00C2478D"/>
    <w:rsid w:val="00C258CD"/>
    <w:rsid w:val="00C25AE1"/>
    <w:rsid w:val="00C26539"/>
    <w:rsid w:val="00C26880"/>
    <w:rsid w:val="00C26FED"/>
    <w:rsid w:val="00C2713D"/>
    <w:rsid w:val="00C300B2"/>
    <w:rsid w:val="00C30CCB"/>
    <w:rsid w:val="00C31316"/>
    <w:rsid w:val="00C31F43"/>
    <w:rsid w:val="00C333E1"/>
    <w:rsid w:val="00C3345C"/>
    <w:rsid w:val="00C3378B"/>
    <w:rsid w:val="00C33CF6"/>
    <w:rsid w:val="00C34499"/>
    <w:rsid w:val="00C345ED"/>
    <w:rsid w:val="00C348BE"/>
    <w:rsid w:val="00C34DFB"/>
    <w:rsid w:val="00C35266"/>
    <w:rsid w:val="00C353CC"/>
    <w:rsid w:val="00C35F01"/>
    <w:rsid w:val="00C36E4F"/>
    <w:rsid w:val="00C37E27"/>
    <w:rsid w:val="00C37FF2"/>
    <w:rsid w:val="00C401AA"/>
    <w:rsid w:val="00C401E9"/>
    <w:rsid w:val="00C40323"/>
    <w:rsid w:val="00C4137E"/>
    <w:rsid w:val="00C41CEB"/>
    <w:rsid w:val="00C4231E"/>
    <w:rsid w:val="00C4236E"/>
    <w:rsid w:val="00C4247A"/>
    <w:rsid w:val="00C42CA2"/>
    <w:rsid w:val="00C42CE1"/>
    <w:rsid w:val="00C44DA1"/>
    <w:rsid w:val="00C4541E"/>
    <w:rsid w:val="00C45E74"/>
    <w:rsid w:val="00C45F29"/>
    <w:rsid w:val="00C46B0E"/>
    <w:rsid w:val="00C46B3F"/>
    <w:rsid w:val="00C46E5E"/>
    <w:rsid w:val="00C47225"/>
    <w:rsid w:val="00C47BB1"/>
    <w:rsid w:val="00C506EB"/>
    <w:rsid w:val="00C508E4"/>
    <w:rsid w:val="00C50B6A"/>
    <w:rsid w:val="00C51618"/>
    <w:rsid w:val="00C517C3"/>
    <w:rsid w:val="00C51A23"/>
    <w:rsid w:val="00C51B75"/>
    <w:rsid w:val="00C52B27"/>
    <w:rsid w:val="00C538AD"/>
    <w:rsid w:val="00C53923"/>
    <w:rsid w:val="00C5427C"/>
    <w:rsid w:val="00C54926"/>
    <w:rsid w:val="00C55119"/>
    <w:rsid w:val="00C55155"/>
    <w:rsid w:val="00C55FFA"/>
    <w:rsid w:val="00C56BF3"/>
    <w:rsid w:val="00C57DFE"/>
    <w:rsid w:val="00C57E6A"/>
    <w:rsid w:val="00C60902"/>
    <w:rsid w:val="00C61013"/>
    <w:rsid w:val="00C612D7"/>
    <w:rsid w:val="00C616F3"/>
    <w:rsid w:val="00C61BF4"/>
    <w:rsid w:val="00C61F9B"/>
    <w:rsid w:val="00C62206"/>
    <w:rsid w:val="00C622D6"/>
    <w:rsid w:val="00C62794"/>
    <w:rsid w:val="00C62D1D"/>
    <w:rsid w:val="00C63042"/>
    <w:rsid w:val="00C630B2"/>
    <w:rsid w:val="00C632D7"/>
    <w:rsid w:val="00C644C9"/>
    <w:rsid w:val="00C64C52"/>
    <w:rsid w:val="00C65DFE"/>
    <w:rsid w:val="00C65FE0"/>
    <w:rsid w:val="00C66BB2"/>
    <w:rsid w:val="00C676BA"/>
    <w:rsid w:val="00C67760"/>
    <w:rsid w:val="00C708E6"/>
    <w:rsid w:val="00C7094C"/>
    <w:rsid w:val="00C70CFB"/>
    <w:rsid w:val="00C70CFD"/>
    <w:rsid w:val="00C71895"/>
    <w:rsid w:val="00C71C01"/>
    <w:rsid w:val="00C71C98"/>
    <w:rsid w:val="00C722FE"/>
    <w:rsid w:val="00C73EB6"/>
    <w:rsid w:val="00C740E9"/>
    <w:rsid w:val="00C749B2"/>
    <w:rsid w:val="00C7559A"/>
    <w:rsid w:val="00C758F5"/>
    <w:rsid w:val="00C75BDC"/>
    <w:rsid w:val="00C767B5"/>
    <w:rsid w:val="00C76AB5"/>
    <w:rsid w:val="00C76D4D"/>
    <w:rsid w:val="00C76F67"/>
    <w:rsid w:val="00C775F9"/>
    <w:rsid w:val="00C77A01"/>
    <w:rsid w:val="00C8042A"/>
    <w:rsid w:val="00C80A66"/>
    <w:rsid w:val="00C81130"/>
    <w:rsid w:val="00C81CAB"/>
    <w:rsid w:val="00C839ED"/>
    <w:rsid w:val="00C83F17"/>
    <w:rsid w:val="00C845C5"/>
    <w:rsid w:val="00C84C2F"/>
    <w:rsid w:val="00C84D1B"/>
    <w:rsid w:val="00C854C1"/>
    <w:rsid w:val="00C85656"/>
    <w:rsid w:val="00C85D74"/>
    <w:rsid w:val="00C85DE2"/>
    <w:rsid w:val="00C85ED9"/>
    <w:rsid w:val="00C85EF9"/>
    <w:rsid w:val="00C86933"/>
    <w:rsid w:val="00C86947"/>
    <w:rsid w:val="00C870DA"/>
    <w:rsid w:val="00C87433"/>
    <w:rsid w:val="00C87BB4"/>
    <w:rsid w:val="00C87BC0"/>
    <w:rsid w:val="00C87C7D"/>
    <w:rsid w:val="00C906D0"/>
    <w:rsid w:val="00C907DD"/>
    <w:rsid w:val="00C90821"/>
    <w:rsid w:val="00C91283"/>
    <w:rsid w:val="00C91FF3"/>
    <w:rsid w:val="00C9284F"/>
    <w:rsid w:val="00C93046"/>
    <w:rsid w:val="00C931C8"/>
    <w:rsid w:val="00C937BE"/>
    <w:rsid w:val="00C93FC5"/>
    <w:rsid w:val="00C9420C"/>
    <w:rsid w:val="00C942D3"/>
    <w:rsid w:val="00C9452D"/>
    <w:rsid w:val="00C94DCE"/>
    <w:rsid w:val="00C95320"/>
    <w:rsid w:val="00C95439"/>
    <w:rsid w:val="00C9558D"/>
    <w:rsid w:val="00C95769"/>
    <w:rsid w:val="00C967E1"/>
    <w:rsid w:val="00C96B06"/>
    <w:rsid w:val="00C96B21"/>
    <w:rsid w:val="00C971FD"/>
    <w:rsid w:val="00C972AF"/>
    <w:rsid w:val="00C97A9A"/>
    <w:rsid w:val="00C97D91"/>
    <w:rsid w:val="00CA0A22"/>
    <w:rsid w:val="00CA14B7"/>
    <w:rsid w:val="00CA36E5"/>
    <w:rsid w:val="00CA395C"/>
    <w:rsid w:val="00CA4421"/>
    <w:rsid w:val="00CA4916"/>
    <w:rsid w:val="00CA4E2D"/>
    <w:rsid w:val="00CA4E35"/>
    <w:rsid w:val="00CA5385"/>
    <w:rsid w:val="00CA5805"/>
    <w:rsid w:val="00CA5D32"/>
    <w:rsid w:val="00CA6025"/>
    <w:rsid w:val="00CA64F9"/>
    <w:rsid w:val="00CA6BBA"/>
    <w:rsid w:val="00CA6CE5"/>
    <w:rsid w:val="00CA76A5"/>
    <w:rsid w:val="00CA79F8"/>
    <w:rsid w:val="00CB04D3"/>
    <w:rsid w:val="00CB059E"/>
    <w:rsid w:val="00CB08DA"/>
    <w:rsid w:val="00CB2159"/>
    <w:rsid w:val="00CB2A10"/>
    <w:rsid w:val="00CB2C3F"/>
    <w:rsid w:val="00CB31DB"/>
    <w:rsid w:val="00CB3B1F"/>
    <w:rsid w:val="00CB4D20"/>
    <w:rsid w:val="00CB4F87"/>
    <w:rsid w:val="00CB5258"/>
    <w:rsid w:val="00CB542F"/>
    <w:rsid w:val="00CB55C3"/>
    <w:rsid w:val="00CB63B3"/>
    <w:rsid w:val="00CB68C4"/>
    <w:rsid w:val="00CB6BA5"/>
    <w:rsid w:val="00CB6E4E"/>
    <w:rsid w:val="00CB7650"/>
    <w:rsid w:val="00CB7741"/>
    <w:rsid w:val="00CB7940"/>
    <w:rsid w:val="00CC1BAE"/>
    <w:rsid w:val="00CC21CD"/>
    <w:rsid w:val="00CC3803"/>
    <w:rsid w:val="00CC3AAA"/>
    <w:rsid w:val="00CC41A8"/>
    <w:rsid w:val="00CC4D55"/>
    <w:rsid w:val="00CC5232"/>
    <w:rsid w:val="00CC5B97"/>
    <w:rsid w:val="00CC61AF"/>
    <w:rsid w:val="00CC6956"/>
    <w:rsid w:val="00CC75A8"/>
    <w:rsid w:val="00CC7E40"/>
    <w:rsid w:val="00CD02F0"/>
    <w:rsid w:val="00CD0C27"/>
    <w:rsid w:val="00CD1FDB"/>
    <w:rsid w:val="00CD28C7"/>
    <w:rsid w:val="00CD30D0"/>
    <w:rsid w:val="00CD3354"/>
    <w:rsid w:val="00CD33D6"/>
    <w:rsid w:val="00CD3ADF"/>
    <w:rsid w:val="00CD43AF"/>
    <w:rsid w:val="00CD54F0"/>
    <w:rsid w:val="00CD591C"/>
    <w:rsid w:val="00CD5EDD"/>
    <w:rsid w:val="00CD616B"/>
    <w:rsid w:val="00CD633A"/>
    <w:rsid w:val="00CD6ED4"/>
    <w:rsid w:val="00CD70F3"/>
    <w:rsid w:val="00CD71A9"/>
    <w:rsid w:val="00CD775B"/>
    <w:rsid w:val="00CD7B5B"/>
    <w:rsid w:val="00CD7D63"/>
    <w:rsid w:val="00CE0318"/>
    <w:rsid w:val="00CE0DA9"/>
    <w:rsid w:val="00CE12EA"/>
    <w:rsid w:val="00CE13D8"/>
    <w:rsid w:val="00CE1942"/>
    <w:rsid w:val="00CE206A"/>
    <w:rsid w:val="00CE298D"/>
    <w:rsid w:val="00CE2DAE"/>
    <w:rsid w:val="00CE42D7"/>
    <w:rsid w:val="00CE4926"/>
    <w:rsid w:val="00CE4A96"/>
    <w:rsid w:val="00CE4CDD"/>
    <w:rsid w:val="00CE5733"/>
    <w:rsid w:val="00CE6500"/>
    <w:rsid w:val="00CE68E9"/>
    <w:rsid w:val="00CE6AEE"/>
    <w:rsid w:val="00CE6D10"/>
    <w:rsid w:val="00CE76D6"/>
    <w:rsid w:val="00CE7A88"/>
    <w:rsid w:val="00CE7FE1"/>
    <w:rsid w:val="00CF0259"/>
    <w:rsid w:val="00CF05AA"/>
    <w:rsid w:val="00CF14C0"/>
    <w:rsid w:val="00CF14F3"/>
    <w:rsid w:val="00CF236B"/>
    <w:rsid w:val="00CF2521"/>
    <w:rsid w:val="00CF4142"/>
    <w:rsid w:val="00CF4A60"/>
    <w:rsid w:val="00CF503A"/>
    <w:rsid w:val="00CF533C"/>
    <w:rsid w:val="00CF5B01"/>
    <w:rsid w:val="00CF684B"/>
    <w:rsid w:val="00CF6B1D"/>
    <w:rsid w:val="00CF6E30"/>
    <w:rsid w:val="00CF723D"/>
    <w:rsid w:val="00CF7528"/>
    <w:rsid w:val="00CF7798"/>
    <w:rsid w:val="00CF7ACA"/>
    <w:rsid w:val="00CF7B86"/>
    <w:rsid w:val="00CF7C72"/>
    <w:rsid w:val="00D00568"/>
    <w:rsid w:val="00D0139C"/>
    <w:rsid w:val="00D013BA"/>
    <w:rsid w:val="00D01506"/>
    <w:rsid w:val="00D01646"/>
    <w:rsid w:val="00D01C2D"/>
    <w:rsid w:val="00D020EA"/>
    <w:rsid w:val="00D026A2"/>
    <w:rsid w:val="00D026B3"/>
    <w:rsid w:val="00D028EA"/>
    <w:rsid w:val="00D031B7"/>
    <w:rsid w:val="00D03277"/>
    <w:rsid w:val="00D03CBE"/>
    <w:rsid w:val="00D03D70"/>
    <w:rsid w:val="00D044E3"/>
    <w:rsid w:val="00D0480F"/>
    <w:rsid w:val="00D04884"/>
    <w:rsid w:val="00D04BFF"/>
    <w:rsid w:val="00D053FC"/>
    <w:rsid w:val="00D0561E"/>
    <w:rsid w:val="00D063DA"/>
    <w:rsid w:val="00D06ACC"/>
    <w:rsid w:val="00D076D2"/>
    <w:rsid w:val="00D0774B"/>
    <w:rsid w:val="00D07AE4"/>
    <w:rsid w:val="00D10033"/>
    <w:rsid w:val="00D104A8"/>
    <w:rsid w:val="00D10882"/>
    <w:rsid w:val="00D10DE3"/>
    <w:rsid w:val="00D111A9"/>
    <w:rsid w:val="00D118A3"/>
    <w:rsid w:val="00D11BEB"/>
    <w:rsid w:val="00D12448"/>
    <w:rsid w:val="00D125C6"/>
    <w:rsid w:val="00D128FE"/>
    <w:rsid w:val="00D13213"/>
    <w:rsid w:val="00D13BB4"/>
    <w:rsid w:val="00D13BF5"/>
    <w:rsid w:val="00D13F23"/>
    <w:rsid w:val="00D13FE4"/>
    <w:rsid w:val="00D14375"/>
    <w:rsid w:val="00D145F1"/>
    <w:rsid w:val="00D14652"/>
    <w:rsid w:val="00D14953"/>
    <w:rsid w:val="00D14DA6"/>
    <w:rsid w:val="00D14DB9"/>
    <w:rsid w:val="00D14E9F"/>
    <w:rsid w:val="00D1574D"/>
    <w:rsid w:val="00D15E8E"/>
    <w:rsid w:val="00D16AD1"/>
    <w:rsid w:val="00D170B8"/>
    <w:rsid w:val="00D17623"/>
    <w:rsid w:val="00D17E36"/>
    <w:rsid w:val="00D17EB3"/>
    <w:rsid w:val="00D204B5"/>
    <w:rsid w:val="00D215E8"/>
    <w:rsid w:val="00D21747"/>
    <w:rsid w:val="00D22BCF"/>
    <w:rsid w:val="00D248C0"/>
    <w:rsid w:val="00D251C1"/>
    <w:rsid w:val="00D251D2"/>
    <w:rsid w:val="00D25A91"/>
    <w:rsid w:val="00D25BE9"/>
    <w:rsid w:val="00D264E1"/>
    <w:rsid w:val="00D26961"/>
    <w:rsid w:val="00D269BB"/>
    <w:rsid w:val="00D26B66"/>
    <w:rsid w:val="00D27FF5"/>
    <w:rsid w:val="00D30651"/>
    <w:rsid w:val="00D31C3F"/>
    <w:rsid w:val="00D31D19"/>
    <w:rsid w:val="00D3212E"/>
    <w:rsid w:val="00D32470"/>
    <w:rsid w:val="00D32542"/>
    <w:rsid w:val="00D3277D"/>
    <w:rsid w:val="00D32E86"/>
    <w:rsid w:val="00D331E1"/>
    <w:rsid w:val="00D33298"/>
    <w:rsid w:val="00D33570"/>
    <w:rsid w:val="00D33AC6"/>
    <w:rsid w:val="00D3448F"/>
    <w:rsid w:val="00D34DD6"/>
    <w:rsid w:val="00D35124"/>
    <w:rsid w:val="00D35DFD"/>
    <w:rsid w:val="00D362BA"/>
    <w:rsid w:val="00D364B0"/>
    <w:rsid w:val="00D37689"/>
    <w:rsid w:val="00D376E5"/>
    <w:rsid w:val="00D403B4"/>
    <w:rsid w:val="00D41676"/>
    <w:rsid w:val="00D4180E"/>
    <w:rsid w:val="00D41F7D"/>
    <w:rsid w:val="00D420E1"/>
    <w:rsid w:val="00D422C3"/>
    <w:rsid w:val="00D44221"/>
    <w:rsid w:val="00D44981"/>
    <w:rsid w:val="00D45034"/>
    <w:rsid w:val="00D45382"/>
    <w:rsid w:val="00D45B9A"/>
    <w:rsid w:val="00D46174"/>
    <w:rsid w:val="00D46357"/>
    <w:rsid w:val="00D463BB"/>
    <w:rsid w:val="00D46C8D"/>
    <w:rsid w:val="00D47FD1"/>
    <w:rsid w:val="00D50095"/>
    <w:rsid w:val="00D50860"/>
    <w:rsid w:val="00D51076"/>
    <w:rsid w:val="00D512EF"/>
    <w:rsid w:val="00D517ED"/>
    <w:rsid w:val="00D51BF2"/>
    <w:rsid w:val="00D51EED"/>
    <w:rsid w:val="00D529CE"/>
    <w:rsid w:val="00D52D60"/>
    <w:rsid w:val="00D5323B"/>
    <w:rsid w:val="00D5331E"/>
    <w:rsid w:val="00D53D1D"/>
    <w:rsid w:val="00D5424A"/>
    <w:rsid w:val="00D547D2"/>
    <w:rsid w:val="00D54E26"/>
    <w:rsid w:val="00D54F6E"/>
    <w:rsid w:val="00D5517D"/>
    <w:rsid w:val="00D551F4"/>
    <w:rsid w:val="00D5523E"/>
    <w:rsid w:val="00D5549D"/>
    <w:rsid w:val="00D55786"/>
    <w:rsid w:val="00D55CA7"/>
    <w:rsid w:val="00D55CD5"/>
    <w:rsid w:val="00D563EF"/>
    <w:rsid w:val="00D566AD"/>
    <w:rsid w:val="00D56AF6"/>
    <w:rsid w:val="00D56F2D"/>
    <w:rsid w:val="00D605D4"/>
    <w:rsid w:val="00D60EFE"/>
    <w:rsid w:val="00D60F0E"/>
    <w:rsid w:val="00D6117F"/>
    <w:rsid w:val="00D6124B"/>
    <w:rsid w:val="00D61AE1"/>
    <w:rsid w:val="00D61CBA"/>
    <w:rsid w:val="00D62034"/>
    <w:rsid w:val="00D62505"/>
    <w:rsid w:val="00D62819"/>
    <w:rsid w:val="00D6405C"/>
    <w:rsid w:val="00D644B8"/>
    <w:rsid w:val="00D64B60"/>
    <w:rsid w:val="00D65998"/>
    <w:rsid w:val="00D65A10"/>
    <w:rsid w:val="00D65E72"/>
    <w:rsid w:val="00D6726A"/>
    <w:rsid w:val="00D6740E"/>
    <w:rsid w:val="00D70548"/>
    <w:rsid w:val="00D71017"/>
    <w:rsid w:val="00D71422"/>
    <w:rsid w:val="00D716F8"/>
    <w:rsid w:val="00D71C9F"/>
    <w:rsid w:val="00D725A3"/>
    <w:rsid w:val="00D7336A"/>
    <w:rsid w:val="00D73442"/>
    <w:rsid w:val="00D734CA"/>
    <w:rsid w:val="00D739B6"/>
    <w:rsid w:val="00D745BD"/>
    <w:rsid w:val="00D7563F"/>
    <w:rsid w:val="00D758F8"/>
    <w:rsid w:val="00D75D94"/>
    <w:rsid w:val="00D760DA"/>
    <w:rsid w:val="00D760E9"/>
    <w:rsid w:val="00D762FC"/>
    <w:rsid w:val="00D76A2C"/>
    <w:rsid w:val="00D772EA"/>
    <w:rsid w:val="00D77495"/>
    <w:rsid w:val="00D77572"/>
    <w:rsid w:val="00D777BA"/>
    <w:rsid w:val="00D802E1"/>
    <w:rsid w:val="00D80599"/>
    <w:rsid w:val="00D80611"/>
    <w:rsid w:val="00D8076B"/>
    <w:rsid w:val="00D80FAF"/>
    <w:rsid w:val="00D8108E"/>
    <w:rsid w:val="00D810A3"/>
    <w:rsid w:val="00D812F8"/>
    <w:rsid w:val="00D8306B"/>
    <w:rsid w:val="00D8381C"/>
    <w:rsid w:val="00D83A29"/>
    <w:rsid w:val="00D83D35"/>
    <w:rsid w:val="00D84C21"/>
    <w:rsid w:val="00D84FB9"/>
    <w:rsid w:val="00D85115"/>
    <w:rsid w:val="00D8521D"/>
    <w:rsid w:val="00D85329"/>
    <w:rsid w:val="00D859AC"/>
    <w:rsid w:val="00D85B2C"/>
    <w:rsid w:val="00D8644D"/>
    <w:rsid w:val="00D86949"/>
    <w:rsid w:val="00D8766A"/>
    <w:rsid w:val="00D87794"/>
    <w:rsid w:val="00D878F0"/>
    <w:rsid w:val="00D87920"/>
    <w:rsid w:val="00D87C78"/>
    <w:rsid w:val="00D90367"/>
    <w:rsid w:val="00D90B20"/>
    <w:rsid w:val="00D90BDD"/>
    <w:rsid w:val="00D90C7B"/>
    <w:rsid w:val="00D916FA"/>
    <w:rsid w:val="00D91E74"/>
    <w:rsid w:val="00D91E95"/>
    <w:rsid w:val="00D923A7"/>
    <w:rsid w:val="00D92740"/>
    <w:rsid w:val="00D92A9D"/>
    <w:rsid w:val="00D92AA5"/>
    <w:rsid w:val="00D9300B"/>
    <w:rsid w:val="00D93026"/>
    <w:rsid w:val="00D938C4"/>
    <w:rsid w:val="00D9405D"/>
    <w:rsid w:val="00D949B9"/>
    <w:rsid w:val="00D94AB6"/>
    <w:rsid w:val="00D95277"/>
    <w:rsid w:val="00D95A84"/>
    <w:rsid w:val="00D96159"/>
    <w:rsid w:val="00D965F2"/>
    <w:rsid w:val="00D9678B"/>
    <w:rsid w:val="00D967F7"/>
    <w:rsid w:val="00D96B01"/>
    <w:rsid w:val="00D96EB7"/>
    <w:rsid w:val="00D975E4"/>
    <w:rsid w:val="00D978C8"/>
    <w:rsid w:val="00D97EBB"/>
    <w:rsid w:val="00DA02D8"/>
    <w:rsid w:val="00DA14AB"/>
    <w:rsid w:val="00DA14BD"/>
    <w:rsid w:val="00DA1704"/>
    <w:rsid w:val="00DA1CF1"/>
    <w:rsid w:val="00DA23EF"/>
    <w:rsid w:val="00DA305B"/>
    <w:rsid w:val="00DA32E8"/>
    <w:rsid w:val="00DA4DBF"/>
    <w:rsid w:val="00DA50F3"/>
    <w:rsid w:val="00DA53C3"/>
    <w:rsid w:val="00DA5642"/>
    <w:rsid w:val="00DA5E2A"/>
    <w:rsid w:val="00DA5FBE"/>
    <w:rsid w:val="00DA6033"/>
    <w:rsid w:val="00DA635E"/>
    <w:rsid w:val="00DA6420"/>
    <w:rsid w:val="00DA6A62"/>
    <w:rsid w:val="00DA74F6"/>
    <w:rsid w:val="00DB00DE"/>
    <w:rsid w:val="00DB04E6"/>
    <w:rsid w:val="00DB0A52"/>
    <w:rsid w:val="00DB1B96"/>
    <w:rsid w:val="00DB229C"/>
    <w:rsid w:val="00DB245E"/>
    <w:rsid w:val="00DB2644"/>
    <w:rsid w:val="00DB2E6D"/>
    <w:rsid w:val="00DB2FA7"/>
    <w:rsid w:val="00DB3176"/>
    <w:rsid w:val="00DB3C6B"/>
    <w:rsid w:val="00DB3C7E"/>
    <w:rsid w:val="00DB40E8"/>
    <w:rsid w:val="00DB45BA"/>
    <w:rsid w:val="00DB506E"/>
    <w:rsid w:val="00DB50F9"/>
    <w:rsid w:val="00DB5152"/>
    <w:rsid w:val="00DB52C4"/>
    <w:rsid w:val="00DB548F"/>
    <w:rsid w:val="00DB5C28"/>
    <w:rsid w:val="00DB61CE"/>
    <w:rsid w:val="00DB68B4"/>
    <w:rsid w:val="00DB6DD3"/>
    <w:rsid w:val="00DB70DF"/>
    <w:rsid w:val="00DB73C4"/>
    <w:rsid w:val="00DB7EDB"/>
    <w:rsid w:val="00DC00BA"/>
    <w:rsid w:val="00DC050D"/>
    <w:rsid w:val="00DC096B"/>
    <w:rsid w:val="00DC09E6"/>
    <w:rsid w:val="00DC0C34"/>
    <w:rsid w:val="00DC0C40"/>
    <w:rsid w:val="00DC0FEB"/>
    <w:rsid w:val="00DC1B2C"/>
    <w:rsid w:val="00DC1CC9"/>
    <w:rsid w:val="00DC2073"/>
    <w:rsid w:val="00DC20CF"/>
    <w:rsid w:val="00DC2368"/>
    <w:rsid w:val="00DC2385"/>
    <w:rsid w:val="00DC2601"/>
    <w:rsid w:val="00DC263C"/>
    <w:rsid w:val="00DC3511"/>
    <w:rsid w:val="00DC3996"/>
    <w:rsid w:val="00DC3A58"/>
    <w:rsid w:val="00DC4869"/>
    <w:rsid w:val="00DC5179"/>
    <w:rsid w:val="00DC62B2"/>
    <w:rsid w:val="00DC634D"/>
    <w:rsid w:val="00DC6CBB"/>
    <w:rsid w:val="00DC7573"/>
    <w:rsid w:val="00DC7A30"/>
    <w:rsid w:val="00DC7EE9"/>
    <w:rsid w:val="00DD0274"/>
    <w:rsid w:val="00DD02E2"/>
    <w:rsid w:val="00DD0ABC"/>
    <w:rsid w:val="00DD0C13"/>
    <w:rsid w:val="00DD0D05"/>
    <w:rsid w:val="00DD2EAB"/>
    <w:rsid w:val="00DD37FB"/>
    <w:rsid w:val="00DD3FFF"/>
    <w:rsid w:val="00DD4253"/>
    <w:rsid w:val="00DD47A8"/>
    <w:rsid w:val="00DD4E01"/>
    <w:rsid w:val="00DD5C7D"/>
    <w:rsid w:val="00DD690B"/>
    <w:rsid w:val="00DD6C02"/>
    <w:rsid w:val="00DD6DC7"/>
    <w:rsid w:val="00DD7BB2"/>
    <w:rsid w:val="00DE0520"/>
    <w:rsid w:val="00DE131D"/>
    <w:rsid w:val="00DE22B4"/>
    <w:rsid w:val="00DE26BF"/>
    <w:rsid w:val="00DE3FB8"/>
    <w:rsid w:val="00DE3FD6"/>
    <w:rsid w:val="00DE422B"/>
    <w:rsid w:val="00DE47BC"/>
    <w:rsid w:val="00DE493A"/>
    <w:rsid w:val="00DE51C9"/>
    <w:rsid w:val="00DE520D"/>
    <w:rsid w:val="00DE5345"/>
    <w:rsid w:val="00DE6671"/>
    <w:rsid w:val="00DE735F"/>
    <w:rsid w:val="00DE7AAB"/>
    <w:rsid w:val="00DF0CE5"/>
    <w:rsid w:val="00DF0EA6"/>
    <w:rsid w:val="00DF12B7"/>
    <w:rsid w:val="00DF1B08"/>
    <w:rsid w:val="00DF2364"/>
    <w:rsid w:val="00DF298C"/>
    <w:rsid w:val="00DF2EAF"/>
    <w:rsid w:val="00DF30CB"/>
    <w:rsid w:val="00DF3301"/>
    <w:rsid w:val="00DF431E"/>
    <w:rsid w:val="00DF5330"/>
    <w:rsid w:val="00DF5720"/>
    <w:rsid w:val="00DF5E2A"/>
    <w:rsid w:val="00DF60BD"/>
    <w:rsid w:val="00DF6212"/>
    <w:rsid w:val="00DF66F1"/>
    <w:rsid w:val="00DF6C36"/>
    <w:rsid w:val="00DF759C"/>
    <w:rsid w:val="00DF76B5"/>
    <w:rsid w:val="00DF798F"/>
    <w:rsid w:val="00DF7A7D"/>
    <w:rsid w:val="00DF7CA1"/>
    <w:rsid w:val="00E00D8D"/>
    <w:rsid w:val="00E0146D"/>
    <w:rsid w:val="00E0167C"/>
    <w:rsid w:val="00E01932"/>
    <w:rsid w:val="00E0220F"/>
    <w:rsid w:val="00E02362"/>
    <w:rsid w:val="00E035DE"/>
    <w:rsid w:val="00E03630"/>
    <w:rsid w:val="00E03835"/>
    <w:rsid w:val="00E0393D"/>
    <w:rsid w:val="00E03BDE"/>
    <w:rsid w:val="00E0491B"/>
    <w:rsid w:val="00E05544"/>
    <w:rsid w:val="00E05796"/>
    <w:rsid w:val="00E059EE"/>
    <w:rsid w:val="00E05A1F"/>
    <w:rsid w:val="00E05EBF"/>
    <w:rsid w:val="00E070D9"/>
    <w:rsid w:val="00E10930"/>
    <w:rsid w:val="00E114E3"/>
    <w:rsid w:val="00E11607"/>
    <w:rsid w:val="00E12408"/>
    <w:rsid w:val="00E13C9C"/>
    <w:rsid w:val="00E13F40"/>
    <w:rsid w:val="00E144B3"/>
    <w:rsid w:val="00E148FB"/>
    <w:rsid w:val="00E14E0C"/>
    <w:rsid w:val="00E15258"/>
    <w:rsid w:val="00E1535E"/>
    <w:rsid w:val="00E154A7"/>
    <w:rsid w:val="00E1639B"/>
    <w:rsid w:val="00E16A97"/>
    <w:rsid w:val="00E16BCE"/>
    <w:rsid w:val="00E16E96"/>
    <w:rsid w:val="00E17704"/>
    <w:rsid w:val="00E17C79"/>
    <w:rsid w:val="00E205C1"/>
    <w:rsid w:val="00E20657"/>
    <w:rsid w:val="00E20DD3"/>
    <w:rsid w:val="00E21ACB"/>
    <w:rsid w:val="00E22162"/>
    <w:rsid w:val="00E2265B"/>
    <w:rsid w:val="00E22976"/>
    <w:rsid w:val="00E22ADC"/>
    <w:rsid w:val="00E22BAC"/>
    <w:rsid w:val="00E23744"/>
    <w:rsid w:val="00E23975"/>
    <w:rsid w:val="00E23EB6"/>
    <w:rsid w:val="00E24026"/>
    <w:rsid w:val="00E24595"/>
    <w:rsid w:val="00E2468A"/>
    <w:rsid w:val="00E247CF"/>
    <w:rsid w:val="00E24CE9"/>
    <w:rsid w:val="00E259BB"/>
    <w:rsid w:val="00E259CE"/>
    <w:rsid w:val="00E268F2"/>
    <w:rsid w:val="00E26CF0"/>
    <w:rsid w:val="00E273E0"/>
    <w:rsid w:val="00E27527"/>
    <w:rsid w:val="00E276D0"/>
    <w:rsid w:val="00E319B5"/>
    <w:rsid w:val="00E32303"/>
    <w:rsid w:val="00E325E5"/>
    <w:rsid w:val="00E33582"/>
    <w:rsid w:val="00E33583"/>
    <w:rsid w:val="00E34C67"/>
    <w:rsid w:val="00E3519D"/>
    <w:rsid w:val="00E3627E"/>
    <w:rsid w:val="00E36CAB"/>
    <w:rsid w:val="00E370E1"/>
    <w:rsid w:val="00E37A9B"/>
    <w:rsid w:val="00E37E49"/>
    <w:rsid w:val="00E403F9"/>
    <w:rsid w:val="00E40491"/>
    <w:rsid w:val="00E405AB"/>
    <w:rsid w:val="00E4093B"/>
    <w:rsid w:val="00E40F96"/>
    <w:rsid w:val="00E410D9"/>
    <w:rsid w:val="00E411BB"/>
    <w:rsid w:val="00E417D7"/>
    <w:rsid w:val="00E41C2F"/>
    <w:rsid w:val="00E4277C"/>
    <w:rsid w:val="00E430F7"/>
    <w:rsid w:val="00E44358"/>
    <w:rsid w:val="00E44CBE"/>
    <w:rsid w:val="00E4512E"/>
    <w:rsid w:val="00E4539E"/>
    <w:rsid w:val="00E456C3"/>
    <w:rsid w:val="00E45898"/>
    <w:rsid w:val="00E45BCA"/>
    <w:rsid w:val="00E46F82"/>
    <w:rsid w:val="00E46F9C"/>
    <w:rsid w:val="00E472E3"/>
    <w:rsid w:val="00E474AC"/>
    <w:rsid w:val="00E4768E"/>
    <w:rsid w:val="00E476F2"/>
    <w:rsid w:val="00E4774A"/>
    <w:rsid w:val="00E5031B"/>
    <w:rsid w:val="00E5036F"/>
    <w:rsid w:val="00E50393"/>
    <w:rsid w:val="00E504E7"/>
    <w:rsid w:val="00E50516"/>
    <w:rsid w:val="00E50E8A"/>
    <w:rsid w:val="00E51A93"/>
    <w:rsid w:val="00E5217C"/>
    <w:rsid w:val="00E52797"/>
    <w:rsid w:val="00E53191"/>
    <w:rsid w:val="00E53213"/>
    <w:rsid w:val="00E53381"/>
    <w:rsid w:val="00E53FAC"/>
    <w:rsid w:val="00E544A9"/>
    <w:rsid w:val="00E54E79"/>
    <w:rsid w:val="00E55134"/>
    <w:rsid w:val="00E55506"/>
    <w:rsid w:val="00E5556E"/>
    <w:rsid w:val="00E559D4"/>
    <w:rsid w:val="00E5638D"/>
    <w:rsid w:val="00E5714D"/>
    <w:rsid w:val="00E57374"/>
    <w:rsid w:val="00E603F1"/>
    <w:rsid w:val="00E60D15"/>
    <w:rsid w:val="00E610C1"/>
    <w:rsid w:val="00E611A1"/>
    <w:rsid w:val="00E624CE"/>
    <w:rsid w:val="00E62C8A"/>
    <w:rsid w:val="00E63CA0"/>
    <w:rsid w:val="00E63D32"/>
    <w:rsid w:val="00E63EFD"/>
    <w:rsid w:val="00E64504"/>
    <w:rsid w:val="00E64CF0"/>
    <w:rsid w:val="00E65521"/>
    <w:rsid w:val="00E65B7C"/>
    <w:rsid w:val="00E67BCE"/>
    <w:rsid w:val="00E702C7"/>
    <w:rsid w:val="00E7097E"/>
    <w:rsid w:val="00E70C33"/>
    <w:rsid w:val="00E70DD9"/>
    <w:rsid w:val="00E7164B"/>
    <w:rsid w:val="00E72321"/>
    <w:rsid w:val="00E726C2"/>
    <w:rsid w:val="00E72CF6"/>
    <w:rsid w:val="00E72F6F"/>
    <w:rsid w:val="00E73088"/>
    <w:rsid w:val="00E731AD"/>
    <w:rsid w:val="00E734AE"/>
    <w:rsid w:val="00E734CA"/>
    <w:rsid w:val="00E73D9B"/>
    <w:rsid w:val="00E7476F"/>
    <w:rsid w:val="00E74872"/>
    <w:rsid w:val="00E749E5"/>
    <w:rsid w:val="00E7500C"/>
    <w:rsid w:val="00E75DF4"/>
    <w:rsid w:val="00E75E8D"/>
    <w:rsid w:val="00E771DF"/>
    <w:rsid w:val="00E77405"/>
    <w:rsid w:val="00E77408"/>
    <w:rsid w:val="00E774CD"/>
    <w:rsid w:val="00E77E18"/>
    <w:rsid w:val="00E80ECB"/>
    <w:rsid w:val="00E81496"/>
    <w:rsid w:val="00E81BA6"/>
    <w:rsid w:val="00E8235D"/>
    <w:rsid w:val="00E82BCF"/>
    <w:rsid w:val="00E832BC"/>
    <w:rsid w:val="00E837A7"/>
    <w:rsid w:val="00E838A9"/>
    <w:rsid w:val="00E83A90"/>
    <w:rsid w:val="00E83B6E"/>
    <w:rsid w:val="00E840DB"/>
    <w:rsid w:val="00E8461E"/>
    <w:rsid w:val="00E84677"/>
    <w:rsid w:val="00E8477A"/>
    <w:rsid w:val="00E84E21"/>
    <w:rsid w:val="00E85493"/>
    <w:rsid w:val="00E85611"/>
    <w:rsid w:val="00E85616"/>
    <w:rsid w:val="00E85766"/>
    <w:rsid w:val="00E85BCD"/>
    <w:rsid w:val="00E85D35"/>
    <w:rsid w:val="00E85DCD"/>
    <w:rsid w:val="00E86DB6"/>
    <w:rsid w:val="00E872E6"/>
    <w:rsid w:val="00E8796E"/>
    <w:rsid w:val="00E87DA5"/>
    <w:rsid w:val="00E87E0A"/>
    <w:rsid w:val="00E90703"/>
    <w:rsid w:val="00E91DA4"/>
    <w:rsid w:val="00E92053"/>
    <w:rsid w:val="00E92159"/>
    <w:rsid w:val="00E92E70"/>
    <w:rsid w:val="00E930AE"/>
    <w:rsid w:val="00E93B7C"/>
    <w:rsid w:val="00E9406A"/>
    <w:rsid w:val="00E95089"/>
    <w:rsid w:val="00E95CE4"/>
    <w:rsid w:val="00E962C4"/>
    <w:rsid w:val="00E96539"/>
    <w:rsid w:val="00E96A23"/>
    <w:rsid w:val="00E96C2F"/>
    <w:rsid w:val="00E97748"/>
    <w:rsid w:val="00E97CAC"/>
    <w:rsid w:val="00EA05F9"/>
    <w:rsid w:val="00EA0634"/>
    <w:rsid w:val="00EA0822"/>
    <w:rsid w:val="00EA1279"/>
    <w:rsid w:val="00EA18B3"/>
    <w:rsid w:val="00EA25BF"/>
    <w:rsid w:val="00EA26E5"/>
    <w:rsid w:val="00EA28DA"/>
    <w:rsid w:val="00EA30BF"/>
    <w:rsid w:val="00EA3304"/>
    <w:rsid w:val="00EA46B2"/>
    <w:rsid w:val="00EA717A"/>
    <w:rsid w:val="00EA7D04"/>
    <w:rsid w:val="00EB00B7"/>
    <w:rsid w:val="00EB00C7"/>
    <w:rsid w:val="00EB11FF"/>
    <w:rsid w:val="00EB31AE"/>
    <w:rsid w:val="00EB37CB"/>
    <w:rsid w:val="00EB398B"/>
    <w:rsid w:val="00EB3A78"/>
    <w:rsid w:val="00EB3A86"/>
    <w:rsid w:val="00EB4218"/>
    <w:rsid w:val="00EB46D3"/>
    <w:rsid w:val="00EB4B59"/>
    <w:rsid w:val="00EB55CE"/>
    <w:rsid w:val="00EB571C"/>
    <w:rsid w:val="00EB5D0B"/>
    <w:rsid w:val="00EB5D5F"/>
    <w:rsid w:val="00EB5F23"/>
    <w:rsid w:val="00EB6735"/>
    <w:rsid w:val="00EB70B7"/>
    <w:rsid w:val="00EB7643"/>
    <w:rsid w:val="00EB7EC8"/>
    <w:rsid w:val="00EC0094"/>
    <w:rsid w:val="00EC0109"/>
    <w:rsid w:val="00EC0B83"/>
    <w:rsid w:val="00EC0BD8"/>
    <w:rsid w:val="00EC0EB2"/>
    <w:rsid w:val="00EC212A"/>
    <w:rsid w:val="00EC4306"/>
    <w:rsid w:val="00EC45E0"/>
    <w:rsid w:val="00EC4736"/>
    <w:rsid w:val="00EC4CC6"/>
    <w:rsid w:val="00EC4FDC"/>
    <w:rsid w:val="00EC55E2"/>
    <w:rsid w:val="00EC60A3"/>
    <w:rsid w:val="00EC697B"/>
    <w:rsid w:val="00EC7037"/>
    <w:rsid w:val="00EC7CC7"/>
    <w:rsid w:val="00EC7D37"/>
    <w:rsid w:val="00ED032C"/>
    <w:rsid w:val="00ED1040"/>
    <w:rsid w:val="00ED11D7"/>
    <w:rsid w:val="00ED15A8"/>
    <w:rsid w:val="00ED2928"/>
    <w:rsid w:val="00ED2A5B"/>
    <w:rsid w:val="00ED2CB8"/>
    <w:rsid w:val="00ED3066"/>
    <w:rsid w:val="00ED3EC8"/>
    <w:rsid w:val="00ED43FE"/>
    <w:rsid w:val="00ED488D"/>
    <w:rsid w:val="00ED4B81"/>
    <w:rsid w:val="00ED4CF1"/>
    <w:rsid w:val="00ED5385"/>
    <w:rsid w:val="00ED607C"/>
    <w:rsid w:val="00ED6AE7"/>
    <w:rsid w:val="00ED7608"/>
    <w:rsid w:val="00ED7B0D"/>
    <w:rsid w:val="00EE005A"/>
    <w:rsid w:val="00EE03B8"/>
    <w:rsid w:val="00EE049B"/>
    <w:rsid w:val="00EE05F9"/>
    <w:rsid w:val="00EE0916"/>
    <w:rsid w:val="00EE0CAE"/>
    <w:rsid w:val="00EE0D1E"/>
    <w:rsid w:val="00EE0E2C"/>
    <w:rsid w:val="00EE10B6"/>
    <w:rsid w:val="00EE1331"/>
    <w:rsid w:val="00EE13A9"/>
    <w:rsid w:val="00EE1471"/>
    <w:rsid w:val="00EE1C03"/>
    <w:rsid w:val="00EE1E89"/>
    <w:rsid w:val="00EE2012"/>
    <w:rsid w:val="00EE215C"/>
    <w:rsid w:val="00EE24B1"/>
    <w:rsid w:val="00EE2920"/>
    <w:rsid w:val="00EE298D"/>
    <w:rsid w:val="00EE30F7"/>
    <w:rsid w:val="00EE3121"/>
    <w:rsid w:val="00EE3203"/>
    <w:rsid w:val="00EE3D73"/>
    <w:rsid w:val="00EE49A5"/>
    <w:rsid w:val="00EE4C33"/>
    <w:rsid w:val="00EE5036"/>
    <w:rsid w:val="00EE6310"/>
    <w:rsid w:val="00EE73C8"/>
    <w:rsid w:val="00EE73FC"/>
    <w:rsid w:val="00EF1AA9"/>
    <w:rsid w:val="00EF23CD"/>
    <w:rsid w:val="00EF240A"/>
    <w:rsid w:val="00EF2A01"/>
    <w:rsid w:val="00EF2B16"/>
    <w:rsid w:val="00EF2D72"/>
    <w:rsid w:val="00EF40A7"/>
    <w:rsid w:val="00EF5244"/>
    <w:rsid w:val="00EF54B9"/>
    <w:rsid w:val="00EF5BDB"/>
    <w:rsid w:val="00EF5D64"/>
    <w:rsid w:val="00EF62B0"/>
    <w:rsid w:val="00EF64F7"/>
    <w:rsid w:val="00EF6ADD"/>
    <w:rsid w:val="00EF7DAF"/>
    <w:rsid w:val="00F005A9"/>
    <w:rsid w:val="00F005AD"/>
    <w:rsid w:val="00F006F9"/>
    <w:rsid w:val="00F00797"/>
    <w:rsid w:val="00F00CDA"/>
    <w:rsid w:val="00F00DE6"/>
    <w:rsid w:val="00F00F3B"/>
    <w:rsid w:val="00F01F57"/>
    <w:rsid w:val="00F023C2"/>
    <w:rsid w:val="00F02FB4"/>
    <w:rsid w:val="00F03484"/>
    <w:rsid w:val="00F03A6B"/>
    <w:rsid w:val="00F03AAE"/>
    <w:rsid w:val="00F03C14"/>
    <w:rsid w:val="00F0446C"/>
    <w:rsid w:val="00F04F0C"/>
    <w:rsid w:val="00F0522B"/>
    <w:rsid w:val="00F060EE"/>
    <w:rsid w:val="00F06343"/>
    <w:rsid w:val="00F06A55"/>
    <w:rsid w:val="00F06B1A"/>
    <w:rsid w:val="00F06FE4"/>
    <w:rsid w:val="00F07E7C"/>
    <w:rsid w:val="00F110BF"/>
    <w:rsid w:val="00F11AB1"/>
    <w:rsid w:val="00F12057"/>
    <w:rsid w:val="00F12395"/>
    <w:rsid w:val="00F12D95"/>
    <w:rsid w:val="00F12F3C"/>
    <w:rsid w:val="00F131C3"/>
    <w:rsid w:val="00F13243"/>
    <w:rsid w:val="00F132C0"/>
    <w:rsid w:val="00F13418"/>
    <w:rsid w:val="00F13782"/>
    <w:rsid w:val="00F139DD"/>
    <w:rsid w:val="00F13D07"/>
    <w:rsid w:val="00F15C13"/>
    <w:rsid w:val="00F16828"/>
    <w:rsid w:val="00F16D35"/>
    <w:rsid w:val="00F17063"/>
    <w:rsid w:val="00F17E93"/>
    <w:rsid w:val="00F17F13"/>
    <w:rsid w:val="00F20A19"/>
    <w:rsid w:val="00F20FD7"/>
    <w:rsid w:val="00F21023"/>
    <w:rsid w:val="00F21B08"/>
    <w:rsid w:val="00F221BC"/>
    <w:rsid w:val="00F2299E"/>
    <w:rsid w:val="00F23715"/>
    <w:rsid w:val="00F2376A"/>
    <w:rsid w:val="00F238C5"/>
    <w:rsid w:val="00F23A9C"/>
    <w:rsid w:val="00F2427C"/>
    <w:rsid w:val="00F243F8"/>
    <w:rsid w:val="00F24500"/>
    <w:rsid w:val="00F24D11"/>
    <w:rsid w:val="00F24E30"/>
    <w:rsid w:val="00F253F6"/>
    <w:rsid w:val="00F26867"/>
    <w:rsid w:val="00F26FCC"/>
    <w:rsid w:val="00F27E11"/>
    <w:rsid w:val="00F3079E"/>
    <w:rsid w:val="00F3097E"/>
    <w:rsid w:val="00F30F69"/>
    <w:rsid w:val="00F314B9"/>
    <w:rsid w:val="00F31623"/>
    <w:rsid w:val="00F316C1"/>
    <w:rsid w:val="00F3238D"/>
    <w:rsid w:val="00F324E6"/>
    <w:rsid w:val="00F32B5F"/>
    <w:rsid w:val="00F32D16"/>
    <w:rsid w:val="00F33004"/>
    <w:rsid w:val="00F3307F"/>
    <w:rsid w:val="00F33FDE"/>
    <w:rsid w:val="00F3558C"/>
    <w:rsid w:val="00F355C2"/>
    <w:rsid w:val="00F358F1"/>
    <w:rsid w:val="00F35B8F"/>
    <w:rsid w:val="00F35F67"/>
    <w:rsid w:val="00F367F2"/>
    <w:rsid w:val="00F36F76"/>
    <w:rsid w:val="00F370AF"/>
    <w:rsid w:val="00F37F17"/>
    <w:rsid w:val="00F405ED"/>
    <w:rsid w:val="00F406AA"/>
    <w:rsid w:val="00F410AD"/>
    <w:rsid w:val="00F41B56"/>
    <w:rsid w:val="00F41B98"/>
    <w:rsid w:val="00F41C7F"/>
    <w:rsid w:val="00F426A7"/>
    <w:rsid w:val="00F433A6"/>
    <w:rsid w:val="00F43831"/>
    <w:rsid w:val="00F43DD5"/>
    <w:rsid w:val="00F441D7"/>
    <w:rsid w:val="00F4435F"/>
    <w:rsid w:val="00F444FB"/>
    <w:rsid w:val="00F450B2"/>
    <w:rsid w:val="00F46397"/>
    <w:rsid w:val="00F468DD"/>
    <w:rsid w:val="00F474B1"/>
    <w:rsid w:val="00F47569"/>
    <w:rsid w:val="00F47991"/>
    <w:rsid w:val="00F502EA"/>
    <w:rsid w:val="00F5096E"/>
    <w:rsid w:val="00F5116C"/>
    <w:rsid w:val="00F5138E"/>
    <w:rsid w:val="00F52155"/>
    <w:rsid w:val="00F52291"/>
    <w:rsid w:val="00F52365"/>
    <w:rsid w:val="00F52450"/>
    <w:rsid w:val="00F52D4F"/>
    <w:rsid w:val="00F5316E"/>
    <w:rsid w:val="00F539AB"/>
    <w:rsid w:val="00F541E9"/>
    <w:rsid w:val="00F5427C"/>
    <w:rsid w:val="00F5462D"/>
    <w:rsid w:val="00F547D7"/>
    <w:rsid w:val="00F54D81"/>
    <w:rsid w:val="00F555E8"/>
    <w:rsid w:val="00F56D4C"/>
    <w:rsid w:val="00F57DE8"/>
    <w:rsid w:val="00F61936"/>
    <w:rsid w:val="00F62038"/>
    <w:rsid w:val="00F627A1"/>
    <w:rsid w:val="00F62A03"/>
    <w:rsid w:val="00F63861"/>
    <w:rsid w:val="00F63ACB"/>
    <w:rsid w:val="00F63B44"/>
    <w:rsid w:val="00F6417F"/>
    <w:rsid w:val="00F64597"/>
    <w:rsid w:val="00F646A5"/>
    <w:rsid w:val="00F6518F"/>
    <w:rsid w:val="00F652F0"/>
    <w:rsid w:val="00F65593"/>
    <w:rsid w:val="00F6592F"/>
    <w:rsid w:val="00F65C5F"/>
    <w:rsid w:val="00F668C6"/>
    <w:rsid w:val="00F670AF"/>
    <w:rsid w:val="00F673E4"/>
    <w:rsid w:val="00F701E3"/>
    <w:rsid w:val="00F70515"/>
    <w:rsid w:val="00F713C7"/>
    <w:rsid w:val="00F7147F"/>
    <w:rsid w:val="00F716E8"/>
    <w:rsid w:val="00F728F8"/>
    <w:rsid w:val="00F72CBE"/>
    <w:rsid w:val="00F7340B"/>
    <w:rsid w:val="00F747F0"/>
    <w:rsid w:val="00F74824"/>
    <w:rsid w:val="00F74934"/>
    <w:rsid w:val="00F74B2F"/>
    <w:rsid w:val="00F752E4"/>
    <w:rsid w:val="00F756C7"/>
    <w:rsid w:val="00F75D50"/>
    <w:rsid w:val="00F76180"/>
    <w:rsid w:val="00F76490"/>
    <w:rsid w:val="00F76972"/>
    <w:rsid w:val="00F76F8B"/>
    <w:rsid w:val="00F80482"/>
    <w:rsid w:val="00F80A21"/>
    <w:rsid w:val="00F80D8C"/>
    <w:rsid w:val="00F815F3"/>
    <w:rsid w:val="00F82258"/>
    <w:rsid w:val="00F825CF"/>
    <w:rsid w:val="00F82C66"/>
    <w:rsid w:val="00F82D4F"/>
    <w:rsid w:val="00F82E90"/>
    <w:rsid w:val="00F836BA"/>
    <w:rsid w:val="00F83AFF"/>
    <w:rsid w:val="00F83C21"/>
    <w:rsid w:val="00F84790"/>
    <w:rsid w:val="00F85021"/>
    <w:rsid w:val="00F8578A"/>
    <w:rsid w:val="00F85F98"/>
    <w:rsid w:val="00F86748"/>
    <w:rsid w:val="00F86D1A"/>
    <w:rsid w:val="00F8712B"/>
    <w:rsid w:val="00F8768D"/>
    <w:rsid w:val="00F87E22"/>
    <w:rsid w:val="00F9030B"/>
    <w:rsid w:val="00F90844"/>
    <w:rsid w:val="00F90AFD"/>
    <w:rsid w:val="00F90E91"/>
    <w:rsid w:val="00F913AE"/>
    <w:rsid w:val="00F916CC"/>
    <w:rsid w:val="00F922AB"/>
    <w:rsid w:val="00F923B7"/>
    <w:rsid w:val="00F923C5"/>
    <w:rsid w:val="00F92A68"/>
    <w:rsid w:val="00F93BF7"/>
    <w:rsid w:val="00F93EF3"/>
    <w:rsid w:val="00F94433"/>
    <w:rsid w:val="00F9449C"/>
    <w:rsid w:val="00F94EEE"/>
    <w:rsid w:val="00F95181"/>
    <w:rsid w:val="00F956A8"/>
    <w:rsid w:val="00F97830"/>
    <w:rsid w:val="00F97A56"/>
    <w:rsid w:val="00FA00EC"/>
    <w:rsid w:val="00FA0200"/>
    <w:rsid w:val="00FA068B"/>
    <w:rsid w:val="00FA0AE6"/>
    <w:rsid w:val="00FA0B9E"/>
    <w:rsid w:val="00FA0C14"/>
    <w:rsid w:val="00FA11C7"/>
    <w:rsid w:val="00FA1E3E"/>
    <w:rsid w:val="00FA2952"/>
    <w:rsid w:val="00FA2B6F"/>
    <w:rsid w:val="00FA2DF3"/>
    <w:rsid w:val="00FA30D1"/>
    <w:rsid w:val="00FA3A90"/>
    <w:rsid w:val="00FA4D3B"/>
    <w:rsid w:val="00FA5080"/>
    <w:rsid w:val="00FA70AF"/>
    <w:rsid w:val="00FA7230"/>
    <w:rsid w:val="00FA7353"/>
    <w:rsid w:val="00FA7662"/>
    <w:rsid w:val="00FA78A3"/>
    <w:rsid w:val="00FA7C8A"/>
    <w:rsid w:val="00FA7E18"/>
    <w:rsid w:val="00FA7F73"/>
    <w:rsid w:val="00FB060C"/>
    <w:rsid w:val="00FB0881"/>
    <w:rsid w:val="00FB1C43"/>
    <w:rsid w:val="00FB1CC2"/>
    <w:rsid w:val="00FB1ED9"/>
    <w:rsid w:val="00FB1F9E"/>
    <w:rsid w:val="00FB24A1"/>
    <w:rsid w:val="00FB24B0"/>
    <w:rsid w:val="00FB24DB"/>
    <w:rsid w:val="00FB2D2C"/>
    <w:rsid w:val="00FB32B0"/>
    <w:rsid w:val="00FB32E9"/>
    <w:rsid w:val="00FB396B"/>
    <w:rsid w:val="00FB3FA6"/>
    <w:rsid w:val="00FB4152"/>
    <w:rsid w:val="00FB51EB"/>
    <w:rsid w:val="00FB53ED"/>
    <w:rsid w:val="00FB54E1"/>
    <w:rsid w:val="00FB6778"/>
    <w:rsid w:val="00FB68FE"/>
    <w:rsid w:val="00FB69E3"/>
    <w:rsid w:val="00FB748C"/>
    <w:rsid w:val="00FB7C62"/>
    <w:rsid w:val="00FC104E"/>
    <w:rsid w:val="00FC1DB4"/>
    <w:rsid w:val="00FC2042"/>
    <w:rsid w:val="00FC2C56"/>
    <w:rsid w:val="00FC33DB"/>
    <w:rsid w:val="00FC33F1"/>
    <w:rsid w:val="00FC4A81"/>
    <w:rsid w:val="00FC4A8A"/>
    <w:rsid w:val="00FC4F85"/>
    <w:rsid w:val="00FC5014"/>
    <w:rsid w:val="00FC51CB"/>
    <w:rsid w:val="00FC562E"/>
    <w:rsid w:val="00FC592B"/>
    <w:rsid w:val="00FC5AA4"/>
    <w:rsid w:val="00FC65F2"/>
    <w:rsid w:val="00FC7C25"/>
    <w:rsid w:val="00FD0052"/>
    <w:rsid w:val="00FD05A3"/>
    <w:rsid w:val="00FD0CB3"/>
    <w:rsid w:val="00FD2E7A"/>
    <w:rsid w:val="00FD36FE"/>
    <w:rsid w:val="00FD3B2E"/>
    <w:rsid w:val="00FD454E"/>
    <w:rsid w:val="00FD4AAA"/>
    <w:rsid w:val="00FD56CE"/>
    <w:rsid w:val="00FD5701"/>
    <w:rsid w:val="00FD58C9"/>
    <w:rsid w:val="00FD5DA8"/>
    <w:rsid w:val="00FD5FA5"/>
    <w:rsid w:val="00FD6C30"/>
    <w:rsid w:val="00FD6C54"/>
    <w:rsid w:val="00FE0405"/>
    <w:rsid w:val="00FE055E"/>
    <w:rsid w:val="00FE0909"/>
    <w:rsid w:val="00FE1D3F"/>
    <w:rsid w:val="00FE2567"/>
    <w:rsid w:val="00FE2B44"/>
    <w:rsid w:val="00FE2F1A"/>
    <w:rsid w:val="00FE38F5"/>
    <w:rsid w:val="00FE3B84"/>
    <w:rsid w:val="00FE4144"/>
    <w:rsid w:val="00FE4543"/>
    <w:rsid w:val="00FE47D2"/>
    <w:rsid w:val="00FE4B03"/>
    <w:rsid w:val="00FE4E9C"/>
    <w:rsid w:val="00FE4F18"/>
    <w:rsid w:val="00FE5A3D"/>
    <w:rsid w:val="00FE6438"/>
    <w:rsid w:val="00FE6C3B"/>
    <w:rsid w:val="00FE71EB"/>
    <w:rsid w:val="00FE73C8"/>
    <w:rsid w:val="00FE77B0"/>
    <w:rsid w:val="00FF089B"/>
    <w:rsid w:val="00FF0A5D"/>
    <w:rsid w:val="00FF0ACA"/>
    <w:rsid w:val="00FF0AE2"/>
    <w:rsid w:val="00FF1872"/>
    <w:rsid w:val="00FF1BA0"/>
    <w:rsid w:val="00FF3691"/>
    <w:rsid w:val="00FF3A15"/>
    <w:rsid w:val="00FF3BE4"/>
    <w:rsid w:val="00FF3BF0"/>
    <w:rsid w:val="00FF404F"/>
    <w:rsid w:val="00FF4382"/>
    <w:rsid w:val="00FF4443"/>
    <w:rsid w:val="00FF4638"/>
    <w:rsid w:val="00FF474F"/>
    <w:rsid w:val="00FF51F2"/>
    <w:rsid w:val="00FF6428"/>
    <w:rsid w:val="00FF6919"/>
    <w:rsid w:val="00FF6980"/>
    <w:rsid w:val="00FF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F0"/>
    <w:rPr>
      <w:kern w:val="18"/>
      <w:sz w:val="24"/>
      <w:szCs w:val="24"/>
    </w:rPr>
  </w:style>
  <w:style w:type="paragraph" w:styleId="Heading1">
    <w:name w:val="heading 1"/>
    <w:basedOn w:val="Normal"/>
    <w:next w:val="Normal"/>
    <w:link w:val="Heading1Char"/>
    <w:uiPriority w:val="99"/>
    <w:qFormat/>
    <w:rsid w:val="000B73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1377C"/>
    <w:pPr>
      <w:keepNext/>
      <w:spacing w:line="480" w:lineRule="auto"/>
      <w:outlineLvl w:val="1"/>
    </w:pPr>
    <w:rPr>
      <w:b/>
      <w:bCs/>
      <w:i/>
      <w:iCs/>
    </w:rPr>
  </w:style>
  <w:style w:type="paragraph" w:styleId="Heading3">
    <w:name w:val="heading 3"/>
    <w:basedOn w:val="Normal"/>
    <w:next w:val="Normal"/>
    <w:link w:val="Heading3Char"/>
    <w:uiPriority w:val="99"/>
    <w:qFormat/>
    <w:rsid w:val="00F3307F"/>
    <w:pPr>
      <w:keepNext/>
      <w:spacing w:line="480" w:lineRule="auto"/>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67E1"/>
    <w:rPr>
      <w:rFonts w:ascii="Arial" w:hAnsi="Arial" w:cs="Arial"/>
      <w:b/>
      <w:bCs/>
      <w:kern w:val="32"/>
      <w:sz w:val="32"/>
      <w:szCs w:val="32"/>
    </w:rPr>
  </w:style>
  <w:style w:type="character" w:customStyle="1" w:styleId="Heading2Char">
    <w:name w:val="Heading 2 Char"/>
    <w:basedOn w:val="DefaultParagraphFont"/>
    <w:link w:val="Heading2"/>
    <w:uiPriority w:val="9"/>
    <w:semiHidden/>
    <w:rsid w:val="00592F35"/>
    <w:rPr>
      <w:rFonts w:ascii="Cambria" w:eastAsia="Times New Roman" w:hAnsi="Cambria" w:cs="Times New Roman"/>
      <w:b/>
      <w:bCs/>
      <w:i/>
      <w:iCs/>
      <w:kern w:val="18"/>
      <w:sz w:val="28"/>
      <w:szCs w:val="28"/>
    </w:rPr>
  </w:style>
  <w:style w:type="character" w:customStyle="1" w:styleId="Heading3Char">
    <w:name w:val="Heading 3 Char"/>
    <w:basedOn w:val="DefaultParagraphFont"/>
    <w:link w:val="Heading3"/>
    <w:uiPriority w:val="9"/>
    <w:semiHidden/>
    <w:rsid w:val="00592F35"/>
    <w:rPr>
      <w:rFonts w:ascii="Cambria" w:eastAsia="Times New Roman" w:hAnsi="Cambria" w:cs="Times New Roman"/>
      <w:b/>
      <w:bCs/>
      <w:kern w:val="18"/>
      <w:sz w:val="26"/>
      <w:szCs w:val="26"/>
    </w:rPr>
  </w:style>
  <w:style w:type="paragraph" w:styleId="BalloonText">
    <w:name w:val="Balloon Text"/>
    <w:basedOn w:val="Normal"/>
    <w:link w:val="BalloonTextChar"/>
    <w:uiPriority w:val="99"/>
    <w:semiHidden/>
    <w:rsid w:val="00280219"/>
    <w:rPr>
      <w:rFonts w:ascii="Tahoma" w:hAnsi="Tahoma" w:cs="Tahoma"/>
      <w:sz w:val="16"/>
      <w:szCs w:val="16"/>
    </w:rPr>
  </w:style>
  <w:style w:type="character" w:customStyle="1" w:styleId="BalloonTextChar">
    <w:name w:val="Balloon Text Char"/>
    <w:basedOn w:val="DefaultParagraphFont"/>
    <w:link w:val="BalloonText"/>
    <w:uiPriority w:val="99"/>
    <w:semiHidden/>
    <w:rsid w:val="00592F35"/>
    <w:rPr>
      <w:kern w:val="18"/>
      <w:sz w:val="0"/>
      <w:szCs w:val="0"/>
    </w:rPr>
  </w:style>
  <w:style w:type="paragraph" w:styleId="Footer">
    <w:name w:val="footer"/>
    <w:basedOn w:val="Normal"/>
    <w:link w:val="FooterChar"/>
    <w:uiPriority w:val="99"/>
    <w:rsid w:val="00EB37CB"/>
    <w:pPr>
      <w:tabs>
        <w:tab w:val="center" w:pos="4320"/>
        <w:tab w:val="right" w:pos="8640"/>
      </w:tabs>
    </w:pPr>
  </w:style>
  <w:style w:type="character" w:customStyle="1" w:styleId="FooterChar">
    <w:name w:val="Footer Char"/>
    <w:basedOn w:val="DefaultParagraphFont"/>
    <w:link w:val="Footer"/>
    <w:uiPriority w:val="99"/>
    <w:rsid w:val="00592F35"/>
    <w:rPr>
      <w:kern w:val="18"/>
      <w:sz w:val="24"/>
      <w:szCs w:val="24"/>
    </w:rPr>
  </w:style>
  <w:style w:type="character" w:styleId="PageNumber">
    <w:name w:val="page number"/>
    <w:basedOn w:val="DefaultParagraphFont"/>
    <w:rsid w:val="00EB37CB"/>
  </w:style>
  <w:style w:type="paragraph" w:customStyle="1" w:styleId="StyleLinespacingDouble">
    <w:name w:val="Style Line spacing:  Double"/>
    <w:basedOn w:val="Normal"/>
    <w:rsid w:val="009A422A"/>
    <w:pPr>
      <w:spacing w:line="480" w:lineRule="auto"/>
      <w:ind w:firstLine="720"/>
    </w:pPr>
  </w:style>
  <w:style w:type="paragraph" w:styleId="FootnoteText">
    <w:name w:val="footnote text"/>
    <w:basedOn w:val="Normal"/>
    <w:link w:val="FootnoteTextChar"/>
    <w:semiHidden/>
    <w:rsid w:val="000C7483"/>
    <w:rPr>
      <w:sz w:val="20"/>
      <w:szCs w:val="20"/>
    </w:rPr>
  </w:style>
  <w:style w:type="character" w:customStyle="1" w:styleId="FootnoteTextChar">
    <w:name w:val="Footnote Text Char"/>
    <w:basedOn w:val="DefaultParagraphFont"/>
    <w:link w:val="FootnoteText"/>
    <w:uiPriority w:val="99"/>
    <w:semiHidden/>
    <w:rsid w:val="00592F35"/>
    <w:rPr>
      <w:kern w:val="18"/>
      <w:sz w:val="20"/>
      <w:szCs w:val="20"/>
    </w:rPr>
  </w:style>
  <w:style w:type="character" w:styleId="FootnoteReference">
    <w:name w:val="footnote reference"/>
    <w:basedOn w:val="DefaultParagraphFont"/>
    <w:semiHidden/>
    <w:rsid w:val="000C7483"/>
    <w:rPr>
      <w:vertAlign w:val="superscript"/>
    </w:rPr>
  </w:style>
  <w:style w:type="character" w:customStyle="1" w:styleId="tab">
    <w:name w:val="tab"/>
    <w:basedOn w:val="DefaultParagraphFont"/>
    <w:uiPriority w:val="99"/>
    <w:rsid w:val="00C56BF3"/>
  </w:style>
  <w:style w:type="character" w:styleId="CommentReference">
    <w:name w:val="annotation reference"/>
    <w:basedOn w:val="DefaultParagraphFont"/>
    <w:semiHidden/>
    <w:rsid w:val="002D4054"/>
    <w:rPr>
      <w:sz w:val="16"/>
      <w:szCs w:val="16"/>
    </w:rPr>
  </w:style>
  <w:style w:type="paragraph" w:styleId="CommentText">
    <w:name w:val="annotation text"/>
    <w:basedOn w:val="Normal"/>
    <w:link w:val="CommentTextChar"/>
    <w:semiHidden/>
    <w:rsid w:val="002D4054"/>
    <w:rPr>
      <w:sz w:val="20"/>
      <w:szCs w:val="20"/>
    </w:rPr>
  </w:style>
  <w:style w:type="character" w:customStyle="1" w:styleId="CommentTextChar">
    <w:name w:val="Comment Text Char"/>
    <w:basedOn w:val="DefaultParagraphFont"/>
    <w:link w:val="CommentText"/>
    <w:uiPriority w:val="99"/>
    <w:semiHidden/>
    <w:rsid w:val="00592F35"/>
    <w:rPr>
      <w:kern w:val="18"/>
      <w:sz w:val="20"/>
      <w:szCs w:val="20"/>
    </w:rPr>
  </w:style>
  <w:style w:type="paragraph" w:styleId="CommentSubject">
    <w:name w:val="annotation subject"/>
    <w:basedOn w:val="CommentText"/>
    <w:next w:val="CommentText"/>
    <w:link w:val="CommentSubjectChar"/>
    <w:uiPriority w:val="99"/>
    <w:semiHidden/>
    <w:rsid w:val="002D4054"/>
    <w:rPr>
      <w:b/>
      <w:bCs/>
    </w:rPr>
  </w:style>
  <w:style w:type="character" w:customStyle="1" w:styleId="CommentSubjectChar">
    <w:name w:val="Comment Subject Char"/>
    <w:basedOn w:val="CommentTextChar"/>
    <w:link w:val="CommentSubject"/>
    <w:uiPriority w:val="99"/>
    <w:semiHidden/>
    <w:rsid w:val="00592F35"/>
    <w:rPr>
      <w:b/>
      <w:bCs/>
      <w:kern w:val="18"/>
      <w:sz w:val="20"/>
      <w:szCs w:val="20"/>
    </w:rPr>
  </w:style>
  <w:style w:type="character" w:customStyle="1" w:styleId="StyleItalic">
    <w:name w:val="Style Italic"/>
    <w:basedOn w:val="DefaultParagraphFont"/>
    <w:rsid w:val="005D0FA3"/>
    <w:rPr>
      <w:rFonts w:ascii="Times New Roman" w:hAnsi="Times New Roman" w:cs="Times New Roman"/>
      <w:b/>
      <w:bCs/>
      <w:sz w:val="24"/>
      <w:szCs w:val="24"/>
    </w:rPr>
  </w:style>
  <w:style w:type="table" w:styleId="TableGrid">
    <w:name w:val="Table Grid"/>
    <w:basedOn w:val="TableNormal"/>
    <w:uiPriority w:val="59"/>
    <w:rsid w:val="002D7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ubleSpacingJS1">
    <w:name w:val="Double Spacing_JS1"/>
    <w:basedOn w:val="Normal"/>
    <w:uiPriority w:val="99"/>
    <w:rsid w:val="00F83C21"/>
    <w:pPr>
      <w:spacing w:line="480" w:lineRule="auto"/>
      <w:ind w:firstLine="720"/>
    </w:pPr>
  </w:style>
  <w:style w:type="character" w:styleId="Hyperlink">
    <w:name w:val="Hyperlink"/>
    <w:basedOn w:val="DefaultParagraphFont"/>
    <w:rsid w:val="00154A08"/>
    <w:rPr>
      <w:color w:val="0000FF"/>
      <w:u w:val="single"/>
    </w:rPr>
  </w:style>
  <w:style w:type="paragraph" w:customStyle="1" w:styleId="Style10ptItalicBlackLeft05LinespacingExactly10">
    <w:name w:val="Style 10 pt Italic Black Left:  0.5&quot; Line spacing:  Exactly 10 ..."/>
    <w:basedOn w:val="Normal"/>
    <w:uiPriority w:val="99"/>
    <w:rsid w:val="0058067F"/>
    <w:pPr>
      <w:spacing w:line="200" w:lineRule="exact"/>
    </w:pPr>
    <w:rPr>
      <w:i/>
      <w:iCs/>
      <w:color w:val="000000"/>
      <w:sz w:val="20"/>
      <w:szCs w:val="20"/>
    </w:rPr>
  </w:style>
  <w:style w:type="character" w:styleId="Strong">
    <w:name w:val="Strong"/>
    <w:basedOn w:val="DefaultParagraphFont"/>
    <w:uiPriority w:val="22"/>
    <w:qFormat/>
    <w:rsid w:val="00B51261"/>
    <w:rPr>
      <w:b/>
      <w:bCs/>
    </w:rPr>
  </w:style>
  <w:style w:type="paragraph" w:styleId="Header">
    <w:name w:val="header"/>
    <w:basedOn w:val="Normal"/>
    <w:link w:val="HeaderChar"/>
    <w:uiPriority w:val="99"/>
    <w:rsid w:val="00D8306B"/>
    <w:pPr>
      <w:tabs>
        <w:tab w:val="center" w:pos="4320"/>
        <w:tab w:val="right" w:pos="8640"/>
      </w:tabs>
    </w:pPr>
  </w:style>
  <w:style w:type="character" w:customStyle="1" w:styleId="HeaderChar">
    <w:name w:val="Header Char"/>
    <w:basedOn w:val="DefaultParagraphFont"/>
    <w:link w:val="Header"/>
    <w:uiPriority w:val="99"/>
    <w:rsid w:val="00592F35"/>
    <w:rPr>
      <w:kern w:val="18"/>
      <w:sz w:val="24"/>
      <w:szCs w:val="24"/>
    </w:rPr>
  </w:style>
  <w:style w:type="paragraph" w:customStyle="1" w:styleId="StyleBoldUnderlineLinespacingDouble">
    <w:name w:val="Style Bold Underline Line spacing:  Double"/>
    <w:basedOn w:val="Normal"/>
    <w:uiPriority w:val="99"/>
    <w:rsid w:val="00397774"/>
    <w:pPr>
      <w:spacing w:line="480" w:lineRule="exact"/>
    </w:pPr>
    <w:rPr>
      <w:b/>
      <w:bCs/>
      <w:kern w:val="0"/>
      <w:u w:val="single"/>
    </w:rPr>
  </w:style>
  <w:style w:type="paragraph" w:customStyle="1" w:styleId="StyleHeading3ItalicLeftLinespacingsingle">
    <w:name w:val="Style Heading 3 + Italic Left Line spacing:  single"/>
    <w:basedOn w:val="Heading3"/>
    <w:uiPriority w:val="99"/>
    <w:rsid w:val="005D0FA3"/>
    <w:pPr>
      <w:jc w:val="left"/>
    </w:pPr>
  </w:style>
  <w:style w:type="paragraph" w:styleId="NormalWeb">
    <w:name w:val="Normal (Web)"/>
    <w:basedOn w:val="Normal"/>
    <w:uiPriority w:val="99"/>
    <w:rsid w:val="00DB70DF"/>
    <w:pPr>
      <w:spacing w:before="100" w:beforeAutospacing="1" w:after="100" w:afterAutospacing="1"/>
    </w:pPr>
    <w:rPr>
      <w:kern w:val="0"/>
    </w:rPr>
  </w:style>
  <w:style w:type="paragraph" w:customStyle="1" w:styleId="lastpar">
    <w:name w:val="lastpar"/>
    <w:basedOn w:val="Normal"/>
    <w:uiPriority w:val="99"/>
    <w:rsid w:val="006A3B1C"/>
    <w:pPr>
      <w:spacing w:before="100" w:beforeAutospacing="1" w:after="100" w:afterAutospacing="1"/>
    </w:pPr>
    <w:rPr>
      <w:kern w:val="0"/>
    </w:rPr>
  </w:style>
  <w:style w:type="character" w:styleId="Emphasis">
    <w:name w:val="Emphasis"/>
    <w:basedOn w:val="DefaultParagraphFont"/>
    <w:uiPriority w:val="20"/>
    <w:qFormat/>
    <w:rsid w:val="00CA4E35"/>
    <w:rPr>
      <w:i/>
      <w:iCs/>
    </w:rPr>
  </w:style>
  <w:style w:type="character" w:styleId="FollowedHyperlink">
    <w:name w:val="FollowedHyperlink"/>
    <w:basedOn w:val="DefaultParagraphFont"/>
    <w:uiPriority w:val="99"/>
    <w:rsid w:val="00225FBE"/>
    <w:rPr>
      <w:color w:val="800080"/>
      <w:u w:val="single"/>
    </w:rPr>
  </w:style>
  <w:style w:type="paragraph" w:customStyle="1" w:styleId="byline">
    <w:name w:val="byline"/>
    <w:basedOn w:val="Normal"/>
    <w:uiPriority w:val="99"/>
    <w:rsid w:val="000B73B4"/>
    <w:pPr>
      <w:spacing w:before="100" w:beforeAutospacing="1" w:after="100" w:afterAutospacing="1"/>
    </w:pPr>
    <w:rPr>
      <w:kern w:val="0"/>
    </w:rPr>
  </w:style>
  <w:style w:type="character" w:customStyle="1" w:styleId="Date1">
    <w:name w:val="Date1"/>
    <w:basedOn w:val="DefaultParagraphFont"/>
    <w:uiPriority w:val="99"/>
    <w:rsid w:val="000B73B4"/>
  </w:style>
  <w:style w:type="character" w:customStyle="1" w:styleId="prurl">
    <w:name w:val="prurl"/>
    <w:basedOn w:val="DefaultParagraphFont"/>
    <w:uiPriority w:val="99"/>
    <w:rsid w:val="000B73B4"/>
  </w:style>
  <w:style w:type="character" w:customStyle="1" w:styleId="verdana11blue">
    <w:name w:val="verdana11blue"/>
    <w:basedOn w:val="DefaultParagraphFont"/>
    <w:uiPriority w:val="99"/>
    <w:rsid w:val="004A1D0D"/>
  </w:style>
  <w:style w:type="character" w:customStyle="1" w:styleId="verdana11orange">
    <w:name w:val="verdana11orange"/>
    <w:basedOn w:val="DefaultParagraphFont"/>
    <w:uiPriority w:val="99"/>
    <w:rsid w:val="004A1D0D"/>
  </w:style>
  <w:style w:type="character" w:customStyle="1" w:styleId="Hyperlink1">
    <w:name w:val="Hyperlink1"/>
    <w:basedOn w:val="DefaultParagraphFont"/>
    <w:uiPriority w:val="99"/>
    <w:rsid w:val="00E67BCE"/>
    <w:rPr>
      <w:rFonts w:ascii="Arial" w:hAnsi="Arial" w:cs="Arial"/>
      <w:color w:val="0000CC"/>
      <w:u w:val="single"/>
    </w:rPr>
  </w:style>
  <w:style w:type="character" w:customStyle="1" w:styleId="a">
    <w:name w:val="a"/>
    <w:basedOn w:val="DefaultParagraphFont"/>
    <w:uiPriority w:val="99"/>
    <w:rsid w:val="00E67BCE"/>
  </w:style>
  <w:style w:type="paragraph" w:styleId="ListParagraph">
    <w:name w:val="List Paragraph"/>
    <w:basedOn w:val="Normal"/>
    <w:uiPriority w:val="99"/>
    <w:qFormat/>
    <w:rsid w:val="00560F68"/>
    <w:pPr>
      <w:ind w:left="720"/>
    </w:pPr>
    <w:rPr>
      <w:kern w:val="0"/>
    </w:rPr>
  </w:style>
  <w:style w:type="character" w:styleId="BookTitle">
    <w:name w:val="Book Title"/>
    <w:basedOn w:val="DefaultParagraphFont"/>
    <w:uiPriority w:val="33"/>
    <w:qFormat/>
    <w:rsid w:val="00560F68"/>
    <w:rPr>
      <w:b/>
      <w:bCs/>
      <w:smallCaps/>
      <w:spacing w:val="5"/>
    </w:rPr>
  </w:style>
  <w:style w:type="paragraph" w:customStyle="1" w:styleId="Default">
    <w:name w:val="Default"/>
    <w:rsid w:val="00560F68"/>
    <w:pPr>
      <w:autoSpaceDE w:val="0"/>
      <w:autoSpaceDN w:val="0"/>
      <w:adjustRightInd w:val="0"/>
    </w:pPr>
    <w:rPr>
      <w:rFonts w:ascii="Arial" w:eastAsiaTheme="minorHAnsi" w:hAnsi="Arial" w:cs="Arial"/>
      <w:color w:val="000000"/>
      <w:sz w:val="24"/>
      <w:szCs w:val="24"/>
    </w:rPr>
  </w:style>
  <w:style w:type="paragraph" w:styleId="Quote">
    <w:name w:val="Quote"/>
    <w:basedOn w:val="Normal"/>
    <w:next w:val="Normal"/>
    <w:link w:val="QuoteChar"/>
    <w:uiPriority w:val="29"/>
    <w:qFormat/>
    <w:rsid w:val="00ED2928"/>
    <w:rPr>
      <w:i/>
      <w:iCs/>
      <w:color w:val="000000" w:themeColor="text1"/>
    </w:rPr>
  </w:style>
  <w:style w:type="character" w:customStyle="1" w:styleId="QuoteChar">
    <w:name w:val="Quote Char"/>
    <w:basedOn w:val="DefaultParagraphFont"/>
    <w:link w:val="Quote"/>
    <w:uiPriority w:val="29"/>
    <w:rsid w:val="00ED2928"/>
    <w:rPr>
      <w:i/>
      <w:iCs/>
      <w:color w:val="000000" w:themeColor="text1"/>
      <w:kern w:val="18"/>
      <w:sz w:val="24"/>
      <w:szCs w:val="24"/>
    </w:rPr>
  </w:style>
  <w:style w:type="paragraph" w:styleId="Revision">
    <w:name w:val="Revision"/>
    <w:hidden/>
    <w:uiPriority w:val="99"/>
    <w:semiHidden/>
    <w:rsid w:val="00DA4DBF"/>
    <w:rPr>
      <w:kern w:val="18"/>
      <w:sz w:val="24"/>
      <w:szCs w:val="24"/>
    </w:rPr>
  </w:style>
  <w:style w:type="character" w:customStyle="1" w:styleId="gsggs">
    <w:name w:val="gs_ggs"/>
    <w:basedOn w:val="DefaultParagraphFont"/>
    <w:rsid w:val="00AF55EB"/>
  </w:style>
  <w:style w:type="character" w:customStyle="1" w:styleId="gsctg2">
    <w:name w:val="gs_ctg2"/>
    <w:basedOn w:val="DefaultParagraphFont"/>
    <w:rsid w:val="00AF55EB"/>
  </w:style>
  <w:style w:type="character" w:customStyle="1" w:styleId="gsa">
    <w:name w:val="gs_a"/>
    <w:basedOn w:val="DefaultParagraphFont"/>
    <w:rsid w:val="00AF55EB"/>
  </w:style>
  <w:style w:type="character" w:customStyle="1" w:styleId="st">
    <w:name w:val="st"/>
    <w:basedOn w:val="DefaultParagraphFont"/>
    <w:rsid w:val="009D2435"/>
  </w:style>
  <w:style w:type="character" w:customStyle="1" w:styleId="medium-font">
    <w:name w:val="medium-font"/>
    <w:basedOn w:val="DefaultParagraphFont"/>
    <w:rsid w:val="00BB5044"/>
  </w:style>
  <w:style w:type="character" w:styleId="HTMLCite">
    <w:name w:val="HTML Cite"/>
    <w:basedOn w:val="DefaultParagraphFont"/>
    <w:uiPriority w:val="99"/>
    <w:semiHidden/>
    <w:unhideWhenUsed/>
    <w:rsid w:val="00CF7528"/>
    <w:rPr>
      <w:i/>
      <w:iCs/>
    </w:rPr>
  </w:style>
  <w:style w:type="paragraph" w:styleId="NoSpacing">
    <w:name w:val="No Spacing"/>
    <w:uiPriority w:val="1"/>
    <w:qFormat/>
    <w:rsid w:val="00386C24"/>
    <w:rPr>
      <w:kern w:val="18"/>
      <w:sz w:val="24"/>
      <w:szCs w:val="24"/>
    </w:rPr>
  </w:style>
  <w:style w:type="character" w:customStyle="1" w:styleId="updated">
    <w:name w:val="updated"/>
    <w:basedOn w:val="DefaultParagraphFont"/>
    <w:rsid w:val="00DD6DC7"/>
  </w:style>
  <w:style w:type="character" w:customStyle="1" w:styleId="apdtstmp">
    <w:name w:val="ap_dt_stmp"/>
    <w:basedOn w:val="DefaultParagraphFont"/>
    <w:rsid w:val="00DD6DC7"/>
  </w:style>
  <w:style w:type="character" w:customStyle="1" w:styleId="aptmstmp">
    <w:name w:val="ap_tm_stmp"/>
    <w:basedOn w:val="DefaultParagraphFont"/>
    <w:rsid w:val="00DD6DC7"/>
  </w:style>
  <w:style w:type="character" w:customStyle="1" w:styleId="aphead">
    <w:name w:val="ap_head"/>
    <w:basedOn w:val="DefaultParagraphFont"/>
    <w:rsid w:val="00DD6DC7"/>
  </w:style>
  <w:style w:type="character" w:customStyle="1" w:styleId="author">
    <w:name w:val="author"/>
    <w:basedOn w:val="DefaultParagraphFont"/>
    <w:rsid w:val="00DD6DC7"/>
  </w:style>
  <w:style w:type="character" w:customStyle="1" w:styleId="apby">
    <w:name w:val="ap_by"/>
    <w:basedOn w:val="DefaultParagraphFont"/>
    <w:rsid w:val="00DD6DC7"/>
  </w:style>
  <w:style w:type="character" w:customStyle="1" w:styleId="apbytitle">
    <w:name w:val="ap_by_title"/>
    <w:basedOn w:val="DefaultParagraphFont"/>
    <w:rsid w:val="00DD6DC7"/>
  </w:style>
  <w:style w:type="character" w:customStyle="1" w:styleId="smallcaps">
    <w:name w:val="smallcaps"/>
    <w:basedOn w:val="DefaultParagraphFont"/>
    <w:rsid w:val="00A25A22"/>
  </w:style>
  <w:style w:type="character" w:customStyle="1" w:styleId="name">
    <w:name w:val="name"/>
    <w:basedOn w:val="DefaultParagraphFont"/>
    <w:rsid w:val="007F786F"/>
  </w:style>
  <w:style w:type="character" w:customStyle="1" w:styleId="contrib-degrees">
    <w:name w:val="contrib-degrees"/>
    <w:basedOn w:val="DefaultParagraphFont"/>
    <w:rsid w:val="007F786F"/>
  </w:style>
  <w:style w:type="character" w:customStyle="1" w:styleId="cit-auth">
    <w:name w:val="cit-auth"/>
    <w:basedOn w:val="DefaultParagraphFont"/>
    <w:rsid w:val="008E738B"/>
  </w:style>
  <w:style w:type="character" w:customStyle="1" w:styleId="search-result-highlight">
    <w:name w:val="search-result-highlight"/>
    <w:basedOn w:val="DefaultParagraphFont"/>
    <w:rsid w:val="008E738B"/>
  </w:style>
  <w:style w:type="character" w:customStyle="1" w:styleId="cit-sep">
    <w:name w:val="cit-sep"/>
    <w:basedOn w:val="DefaultParagraphFont"/>
    <w:rsid w:val="008E738B"/>
  </w:style>
  <w:style w:type="character" w:customStyle="1" w:styleId="Subtitle1">
    <w:name w:val="Subtitle1"/>
    <w:basedOn w:val="DefaultParagraphFont"/>
    <w:rsid w:val="00537122"/>
  </w:style>
  <w:style w:type="paragraph" w:styleId="DocumentMap">
    <w:name w:val="Document Map"/>
    <w:basedOn w:val="Normal"/>
    <w:link w:val="DocumentMapChar"/>
    <w:uiPriority w:val="99"/>
    <w:semiHidden/>
    <w:unhideWhenUsed/>
    <w:rsid w:val="0022291A"/>
    <w:rPr>
      <w:rFonts w:ascii="Tahoma" w:hAnsi="Tahoma" w:cs="Tahoma"/>
      <w:sz w:val="16"/>
      <w:szCs w:val="16"/>
    </w:rPr>
  </w:style>
  <w:style w:type="character" w:customStyle="1" w:styleId="DocumentMapChar">
    <w:name w:val="Document Map Char"/>
    <w:basedOn w:val="DefaultParagraphFont"/>
    <w:link w:val="DocumentMap"/>
    <w:uiPriority w:val="99"/>
    <w:semiHidden/>
    <w:rsid w:val="0022291A"/>
    <w:rPr>
      <w:rFonts w:ascii="Tahoma" w:hAnsi="Tahoma" w:cs="Tahoma"/>
      <w:kern w:val="18"/>
      <w:sz w:val="16"/>
      <w:szCs w:val="16"/>
    </w:rPr>
  </w:style>
  <w:style w:type="character" w:customStyle="1" w:styleId="cit-print-date">
    <w:name w:val="cit-print-date"/>
    <w:basedOn w:val="DefaultParagraphFont"/>
    <w:rsid w:val="002B1DBD"/>
  </w:style>
  <w:style w:type="character" w:customStyle="1" w:styleId="cit-vol">
    <w:name w:val="cit-vol"/>
    <w:basedOn w:val="DefaultParagraphFont"/>
    <w:rsid w:val="002B1DBD"/>
  </w:style>
  <w:style w:type="character" w:customStyle="1" w:styleId="cit-first-page">
    <w:name w:val="cit-first-page"/>
    <w:basedOn w:val="DefaultParagraphFont"/>
    <w:rsid w:val="002B1DBD"/>
  </w:style>
  <w:style w:type="character" w:customStyle="1" w:styleId="cit-last-page">
    <w:name w:val="cit-last-page"/>
    <w:basedOn w:val="DefaultParagraphFont"/>
    <w:rsid w:val="002B1DBD"/>
  </w:style>
  <w:style w:type="character" w:customStyle="1" w:styleId="cit-title">
    <w:name w:val="cit-title"/>
    <w:basedOn w:val="DefaultParagraphFont"/>
    <w:rsid w:val="002B1DBD"/>
  </w:style>
  <w:style w:type="character" w:customStyle="1" w:styleId="contrib-role">
    <w:name w:val="contrib-role"/>
    <w:basedOn w:val="DefaultParagraphFont"/>
    <w:rsid w:val="004A6550"/>
  </w:style>
  <w:style w:type="paragraph" w:customStyle="1" w:styleId="affiliation-list-reveal">
    <w:name w:val="affiliation-list-reveal"/>
    <w:basedOn w:val="Normal"/>
    <w:rsid w:val="004A6550"/>
    <w:pPr>
      <w:spacing w:before="100" w:beforeAutospacing="1" w:after="100" w:afterAutospacing="1"/>
    </w:pPr>
    <w:rPr>
      <w:kern w:val="0"/>
    </w:rPr>
  </w:style>
  <w:style w:type="character" w:customStyle="1" w:styleId="slug-pub-date">
    <w:name w:val="slug-pub-date"/>
    <w:basedOn w:val="DefaultParagraphFont"/>
    <w:rsid w:val="004A6550"/>
  </w:style>
  <w:style w:type="character" w:customStyle="1" w:styleId="slug-vol">
    <w:name w:val="slug-vol"/>
    <w:basedOn w:val="DefaultParagraphFont"/>
    <w:rsid w:val="004A6550"/>
  </w:style>
  <w:style w:type="character" w:customStyle="1" w:styleId="slug-pages">
    <w:name w:val="slug-pages"/>
    <w:basedOn w:val="DefaultParagraphFont"/>
    <w:rsid w:val="004A6550"/>
  </w:style>
  <w:style w:type="paragraph" w:customStyle="1" w:styleId="authors">
    <w:name w:val="authors"/>
    <w:basedOn w:val="Normal"/>
    <w:rsid w:val="004A6550"/>
    <w:pPr>
      <w:spacing w:before="100" w:beforeAutospacing="1" w:after="100" w:afterAutospacing="1"/>
    </w:pPr>
    <w:rPr>
      <w:kern w:val="0"/>
    </w:rPr>
  </w:style>
  <w:style w:type="paragraph" w:customStyle="1" w:styleId="citationline">
    <w:name w:val="citationline"/>
    <w:basedOn w:val="Normal"/>
    <w:rsid w:val="004A6550"/>
    <w:pPr>
      <w:spacing w:before="100" w:beforeAutospacing="1" w:after="100" w:afterAutospacing="1"/>
    </w:pPr>
    <w:rPr>
      <w:kern w:val="0"/>
    </w:rPr>
  </w:style>
  <w:style w:type="character" w:customStyle="1" w:styleId="citation">
    <w:name w:val="citation"/>
    <w:basedOn w:val="DefaultParagraphFont"/>
    <w:rsid w:val="004A6550"/>
  </w:style>
  <w:style w:type="character" w:customStyle="1" w:styleId="slug-issue">
    <w:name w:val="slug-issue"/>
    <w:basedOn w:val="DefaultParagraphFont"/>
    <w:rsid w:val="005808E0"/>
  </w:style>
  <w:style w:type="character" w:customStyle="1" w:styleId="rdlinkitem">
    <w:name w:val="rdlinkitem"/>
    <w:basedOn w:val="DefaultParagraphFont"/>
    <w:rsid w:val="00805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2089">
      <w:bodyDiv w:val="1"/>
      <w:marLeft w:val="0"/>
      <w:marRight w:val="0"/>
      <w:marTop w:val="0"/>
      <w:marBottom w:val="0"/>
      <w:divBdr>
        <w:top w:val="none" w:sz="0" w:space="0" w:color="auto"/>
        <w:left w:val="none" w:sz="0" w:space="0" w:color="auto"/>
        <w:bottom w:val="none" w:sz="0" w:space="0" w:color="auto"/>
        <w:right w:val="none" w:sz="0" w:space="0" w:color="auto"/>
      </w:divBdr>
      <w:divsChild>
        <w:div w:id="913973608">
          <w:marLeft w:val="0"/>
          <w:marRight w:val="0"/>
          <w:marTop w:val="0"/>
          <w:marBottom w:val="0"/>
          <w:divBdr>
            <w:top w:val="none" w:sz="0" w:space="0" w:color="auto"/>
            <w:left w:val="none" w:sz="0" w:space="0" w:color="auto"/>
            <w:bottom w:val="none" w:sz="0" w:space="0" w:color="auto"/>
            <w:right w:val="none" w:sz="0" w:space="0" w:color="auto"/>
          </w:divBdr>
        </w:div>
        <w:div w:id="820318092">
          <w:marLeft w:val="0"/>
          <w:marRight w:val="0"/>
          <w:marTop w:val="0"/>
          <w:marBottom w:val="0"/>
          <w:divBdr>
            <w:top w:val="none" w:sz="0" w:space="0" w:color="auto"/>
            <w:left w:val="none" w:sz="0" w:space="0" w:color="auto"/>
            <w:bottom w:val="none" w:sz="0" w:space="0" w:color="auto"/>
            <w:right w:val="none" w:sz="0" w:space="0" w:color="auto"/>
          </w:divBdr>
        </w:div>
        <w:div w:id="1974678114">
          <w:marLeft w:val="0"/>
          <w:marRight w:val="0"/>
          <w:marTop w:val="0"/>
          <w:marBottom w:val="0"/>
          <w:divBdr>
            <w:top w:val="none" w:sz="0" w:space="0" w:color="auto"/>
            <w:left w:val="none" w:sz="0" w:space="0" w:color="auto"/>
            <w:bottom w:val="none" w:sz="0" w:space="0" w:color="auto"/>
            <w:right w:val="none" w:sz="0" w:space="0" w:color="auto"/>
          </w:divBdr>
        </w:div>
        <w:div w:id="2056585799">
          <w:marLeft w:val="0"/>
          <w:marRight w:val="0"/>
          <w:marTop w:val="0"/>
          <w:marBottom w:val="0"/>
          <w:divBdr>
            <w:top w:val="none" w:sz="0" w:space="0" w:color="auto"/>
            <w:left w:val="none" w:sz="0" w:space="0" w:color="auto"/>
            <w:bottom w:val="none" w:sz="0" w:space="0" w:color="auto"/>
            <w:right w:val="none" w:sz="0" w:space="0" w:color="auto"/>
          </w:divBdr>
        </w:div>
        <w:div w:id="1623998782">
          <w:marLeft w:val="0"/>
          <w:marRight w:val="0"/>
          <w:marTop w:val="0"/>
          <w:marBottom w:val="0"/>
          <w:divBdr>
            <w:top w:val="none" w:sz="0" w:space="0" w:color="auto"/>
            <w:left w:val="none" w:sz="0" w:space="0" w:color="auto"/>
            <w:bottom w:val="none" w:sz="0" w:space="0" w:color="auto"/>
            <w:right w:val="none" w:sz="0" w:space="0" w:color="auto"/>
          </w:divBdr>
        </w:div>
      </w:divsChild>
    </w:div>
    <w:div w:id="77748332">
      <w:bodyDiv w:val="1"/>
      <w:marLeft w:val="0"/>
      <w:marRight w:val="0"/>
      <w:marTop w:val="0"/>
      <w:marBottom w:val="0"/>
      <w:divBdr>
        <w:top w:val="none" w:sz="0" w:space="0" w:color="auto"/>
        <w:left w:val="none" w:sz="0" w:space="0" w:color="auto"/>
        <w:bottom w:val="none" w:sz="0" w:space="0" w:color="auto"/>
        <w:right w:val="none" w:sz="0" w:space="0" w:color="auto"/>
      </w:divBdr>
    </w:div>
    <w:div w:id="146943580">
      <w:bodyDiv w:val="1"/>
      <w:marLeft w:val="0"/>
      <w:marRight w:val="0"/>
      <w:marTop w:val="0"/>
      <w:marBottom w:val="0"/>
      <w:divBdr>
        <w:top w:val="none" w:sz="0" w:space="0" w:color="auto"/>
        <w:left w:val="none" w:sz="0" w:space="0" w:color="auto"/>
        <w:bottom w:val="none" w:sz="0" w:space="0" w:color="auto"/>
        <w:right w:val="none" w:sz="0" w:space="0" w:color="auto"/>
      </w:divBdr>
    </w:div>
    <w:div w:id="152337719">
      <w:bodyDiv w:val="1"/>
      <w:marLeft w:val="0"/>
      <w:marRight w:val="0"/>
      <w:marTop w:val="0"/>
      <w:marBottom w:val="0"/>
      <w:divBdr>
        <w:top w:val="none" w:sz="0" w:space="0" w:color="auto"/>
        <w:left w:val="none" w:sz="0" w:space="0" w:color="auto"/>
        <w:bottom w:val="none" w:sz="0" w:space="0" w:color="auto"/>
        <w:right w:val="none" w:sz="0" w:space="0" w:color="auto"/>
      </w:divBdr>
    </w:div>
    <w:div w:id="559095476">
      <w:bodyDiv w:val="1"/>
      <w:marLeft w:val="0"/>
      <w:marRight w:val="0"/>
      <w:marTop w:val="0"/>
      <w:marBottom w:val="0"/>
      <w:divBdr>
        <w:top w:val="none" w:sz="0" w:space="0" w:color="auto"/>
        <w:left w:val="none" w:sz="0" w:space="0" w:color="auto"/>
        <w:bottom w:val="none" w:sz="0" w:space="0" w:color="auto"/>
        <w:right w:val="none" w:sz="0" w:space="0" w:color="auto"/>
      </w:divBdr>
      <w:divsChild>
        <w:div w:id="662504">
          <w:marLeft w:val="0"/>
          <w:marRight w:val="0"/>
          <w:marTop w:val="0"/>
          <w:marBottom w:val="0"/>
          <w:divBdr>
            <w:top w:val="none" w:sz="0" w:space="0" w:color="auto"/>
            <w:left w:val="none" w:sz="0" w:space="0" w:color="auto"/>
            <w:bottom w:val="none" w:sz="0" w:space="0" w:color="auto"/>
            <w:right w:val="none" w:sz="0" w:space="0" w:color="auto"/>
          </w:divBdr>
        </w:div>
      </w:divsChild>
    </w:div>
    <w:div w:id="572741518">
      <w:bodyDiv w:val="1"/>
      <w:marLeft w:val="0"/>
      <w:marRight w:val="0"/>
      <w:marTop w:val="0"/>
      <w:marBottom w:val="0"/>
      <w:divBdr>
        <w:top w:val="none" w:sz="0" w:space="0" w:color="auto"/>
        <w:left w:val="none" w:sz="0" w:space="0" w:color="auto"/>
        <w:bottom w:val="none" w:sz="0" w:space="0" w:color="auto"/>
        <w:right w:val="none" w:sz="0" w:space="0" w:color="auto"/>
      </w:divBdr>
    </w:div>
    <w:div w:id="632561141">
      <w:bodyDiv w:val="1"/>
      <w:marLeft w:val="0"/>
      <w:marRight w:val="0"/>
      <w:marTop w:val="0"/>
      <w:marBottom w:val="0"/>
      <w:divBdr>
        <w:top w:val="none" w:sz="0" w:space="0" w:color="auto"/>
        <w:left w:val="none" w:sz="0" w:space="0" w:color="auto"/>
        <w:bottom w:val="none" w:sz="0" w:space="0" w:color="auto"/>
        <w:right w:val="none" w:sz="0" w:space="0" w:color="auto"/>
      </w:divBdr>
      <w:divsChild>
        <w:div w:id="836726255">
          <w:marLeft w:val="0"/>
          <w:marRight w:val="0"/>
          <w:marTop w:val="0"/>
          <w:marBottom w:val="0"/>
          <w:divBdr>
            <w:top w:val="none" w:sz="0" w:space="0" w:color="auto"/>
            <w:left w:val="none" w:sz="0" w:space="0" w:color="auto"/>
            <w:bottom w:val="none" w:sz="0" w:space="0" w:color="auto"/>
            <w:right w:val="none" w:sz="0" w:space="0" w:color="auto"/>
          </w:divBdr>
        </w:div>
      </w:divsChild>
    </w:div>
    <w:div w:id="948120052">
      <w:bodyDiv w:val="1"/>
      <w:marLeft w:val="0"/>
      <w:marRight w:val="0"/>
      <w:marTop w:val="0"/>
      <w:marBottom w:val="0"/>
      <w:divBdr>
        <w:top w:val="none" w:sz="0" w:space="0" w:color="auto"/>
        <w:left w:val="none" w:sz="0" w:space="0" w:color="auto"/>
        <w:bottom w:val="none" w:sz="0" w:space="0" w:color="auto"/>
        <w:right w:val="none" w:sz="0" w:space="0" w:color="auto"/>
      </w:divBdr>
    </w:div>
    <w:div w:id="975646777">
      <w:bodyDiv w:val="1"/>
      <w:marLeft w:val="0"/>
      <w:marRight w:val="0"/>
      <w:marTop w:val="0"/>
      <w:marBottom w:val="0"/>
      <w:divBdr>
        <w:top w:val="none" w:sz="0" w:space="0" w:color="auto"/>
        <w:left w:val="none" w:sz="0" w:space="0" w:color="auto"/>
        <w:bottom w:val="none" w:sz="0" w:space="0" w:color="auto"/>
        <w:right w:val="none" w:sz="0" w:space="0" w:color="auto"/>
      </w:divBdr>
      <w:divsChild>
        <w:div w:id="2004621755">
          <w:marLeft w:val="0"/>
          <w:marRight w:val="0"/>
          <w:marTop w:val="0"/>
          <w:marBottom w:val="0"/>
          <w:divBdr>
            <w:top w:val="none" w:sz="0" w:space="0" w:color="auto"/>
            <w:left w:val="none" w:sz="0" w:space="0" w:color="auto"/>
            <w:bottom w:val="none" w:sz="0" w:space="0" w:color="auto"/>
            <w:right w:val="none" w:sz="0" w:space="0" w:color="auto"/>
          </w:divBdr>
        </w:div>
        <w:div w:id="722296466">
          <w:marLeft w:val="0"/>
          <w:marRight w:val="0"/>
          <w:marTop w:val="0"/>
          <w:marBottom w:val="0"/>
          <w:divBdr>
            <w:top w:val="none" w:sz="0" w:space="0" w:color="auto"/>
            <w:left w:val="none" w:sz="0" w:space="0" w:color="auto"/>
            <w:bottom w:val="none" w:sz="0" w:space="0" w:color="auto"/>
            <w:right w:val="none" w:sz="0" w:space="0" w:color="auto"/>
          </w:divBdr>
        </w:div>
        <w:div w:id="850796139">
          <w:marLeft w:val="0"/>
          <w:marRight w:val="0"/>
          <w:marTop w:val="0"/>
          <w:marBottom w:val="0"/>
          <w:divBdr>
            <w:top w:val="none" w:sz="0" w:space="0" w:color="auto"/>
            <w:left w:val="none" w:sz="0" w:space="0" w:color="auto"/>
            <w:bottom w:val="none" w:sz="0" w:space="0" w:color="auto"/>
            <w:right w:val="none" w:sz="0" w:space="0" w:color="auto"/>
          </w:divBdr>
        </w:div>
        <w:div w:id="1919245106">
          <w:marLeft w:val="0"/>
          <w:marRight w:val="0"/>
          <w:marTop w:val="0"/>
          <w:marBottom w:val="0"/>
          <w:divBdr>
            <w:top w:val="none" w:sz="0" w:space="0" w:color="auto"/>
            <w:left w:val="none" w:sz="0" w:space="0" w:color="auto"/>
            <w:bottom w:val="none" w:sz="0" w:space="0" w:color="auto"/>
            <w:right w:val="none" w:sz="0" w:space="0" w:color="auto"/>
          </w:divBdr>
        </w:div>
      </w:divsChild>
    </w:div>
    <w:div w:id="1101684089">
      <w:marLeft w:val="0"/>
      <w:marRight w:val="0"/>
      <w:marTop w:val="0"/>
      <w:marBottom w:val="0"/>
      <w:divBdr>
        <w:top w:val="none" w:sz="0" w:space="0" w:color="auto"/>
        <w:left w:val="none" w:sz="0" w:space="0" w:color="auto"/>
        <w:bottom w:val="none" w:sz="0" w:space="0" w:color="auto"/>
        <w:right w:val="none" w:sz="0" w:space="0" w:color="auto"/>
      </w:divBdr>
    </w:div>
    <w:div w:id="1101684095">
      <w:marLeft w:val="0"/>
      <w:marRight w:val="0"/>
      <w:marTop w:val="0"/>
      <w:marBottom w:val="0"/>
      <w:divBdr>
        <w:top w:val="none" w:sz="0" w:space="0" w:color="auto"/>
        <w:left w:val="none" w:sz="0" w:space="0" w:color="auto"/>
        <w:bottom w:val="none" w:sz="0" w:space="0" w:color="auto"/>
        <w:right w:val="none" w:sz="0" w:space="0" w:color="auto"/>
      </w:divBdr>
    </w:div>
    <w:div w:id="1101684099">
      <w:marLeft w:val="40"/>
      <w:marRight w:val="40"/>
      <w:marTop w:val="40"/>
      <w:marBottom w:val="40"/>
      <w:divBdr>
        <w:top w:val="none" w:sz="0" w:space="0" w:color="auto"/>
        <w:left w:val="none" w:sz="0" w:space="0" w:color="auto"/>
        <w:bottom w:val="none" w:sz="0" w:space="0" w:color="auto"/>
        <w:right w:val="none" w:sz="0" w:space="0" w:color="auto"/>
      </w:divBdr>
      <w:divsChild>
        <w:div w:id="1101684102">
          <w:marLeft w:val="0"/>
          <w:marRight w:val="0"/>
          <w:marTop w:val="0"/>
          <w:marBottom w:val="0"/>
          <w:divBdr>
            <w:top w:val="none" w:sz="0" w:space="0" w:color="auto"/>
            <w:left w:val="none" w:sz="0" w:space="0" w:color="auto"/>
            <w:bottom w:val="none" w:sz="0" w:space="0" w:color="auto"/>
            <w:right w:val="none" w:sz="0" w:space="0" w:color="auto"/>
          </w:divBdr>
          <w:divsChild>
            <w:div w:id="1101684090">
              <w:marLeft w:val="0"/>
              <w:marRight w:val="0"/>
              <w:marTop w:val="0"/>
              <w:marBottom w:val="0"/>
              <w:divBdr>
                <w:top w:val="none" w:sz="0" w:space="0" w:color="auto"/>
                <w:left w:val="none" w:sz="0" w:space="0" w:color="auto"/>
                <w:bottom w:val="none" w:sz="0" w:space="0" w:color="auto"/>
                <w:right w:val="none" w:sz="0" w:space="0" w:color="auto"/>
              </w:divBdr>
              <w:divsChild>
                <w:div w:id="1101684107">
                  <w:marLeft w:val="0"/>
                  <w:marRight w:val="0"/>
                  <w:marTop w:val="0"/>
                  <w:marBottom w:val="0"/>
                  <w:divBdr>
                    <w:top w:val="none" w:sz="0" w:space="0" w:color="auto"/>
                    <w:left w:val="none" w:sz="0" w:space="0" w:color="auto"/>
                    <w:bottom w:val="none" w:sz="0" w:space="0" w:color="auto"/>
                    <w:right w:val="none" w:sz="0" w:space="0" w:color="auto"/>
                  </w:divBdr>
                </w:div>
                <w:div w:id="1101684112">
                  <w:marLeft w:val="0"/>
                  <w:marRight w:val="0"/>
                  <w:marTop w:val="0"/>
                  <w:marBottom w:val="0"/>
                  <w:divBdr>
                    <w:top w:val="none" w:sz="0" w:space="0" w:color="auto"/>
                    <w:left w:val="none" w:sz="0" w:space="0" w:color="auto"/>
                    <w:bottom w:val="none" w:sz="0" w:space="0" w:color="auto"/>
                    <w:right w:val="none" w:sz="0" w:space="0" w:color="auto"/>
                  </w:divBdr>
                </w:div>
              </w:divsChild>
            </w:div>
            <w:div w:id="1101684105">
              <w:marLeft w:val="0"/>
              <w:marRight w:val="0"/>
              <w:marTop w:val="0"/>
              <w:marBottom w:val="0"/>
              <w:divBdr>
                <w:top w:val="none" w:sz="0" w:space="0" w:color="auto"/>
                <w:left w:val="none" w:sz="0" w:space="0" w:color="auto"/>
                <w:bottom w:val="none" w:sz="0" w:space="0" w:color="auto"/>
                <w:right w:val="none" w:sz="0" w:space="0" w:color="auto"/>
              </w:divBdr>
              <w:divsChild>
                <w:div w:id="1101684097">
                  <w:marLeft w:val="0"/>
                  <w:marRight w:val="0"/>
                  <w:marTop w:val="0"/>
                  <w:marBottom w:val="0"/>
                  <w:divBdr>
                    <w:top w:val="none" w:sz="0" w:space="0" w:color="auto"/>
                    <w:left w:val="none" w:sz="0" w:space="0" w:color="auto"/>
                    <w:bottom w:val="none" w:sz="0" w:space="0" w:color="auto"/>
                    <w:right w:val="none" w:sz="0" w:space="0" w:color="auto"/>
                  </w:divBdr>
                </w:div>
              </w:divsChild>
            </w:div>
            <w:div w:id="1101684109">
              <w:marLeft w:val="0"/>
              <w:marRight w:val="0"/>
              <w:marTop w:val="0"/>
              <w:marBottom w:val="0"/>
              <w:divBdr>
                <w:top w:val="none" w:sz="0" w:space="0" w:color="auto"/>
                <w:left w:val="none" w:sz="0" w:space="0" w:color="auto"/>
                <w:bottom w:val="none" w:sz="0" w:space="0" w:color="auto"/>
                <w:right w:val="none" w:sz="0" w:space="0" w:color="auto"/>
              </w:divBdr>
              <w:divsChild>
                <w:div w:id="1101684088">
                  <w:marLeft w:val="0"/>
                  <w:marRight w:val="0"/>
                  <w:marTop w:val="0"/>
                  <w:marBottom w:val="0"/>
                  <w:divBdr>
                    <w:top w:val="none" w:sz="0" w:space="0" w:color="auto"/>
                    <w:left w:val="none" w:sz="0" w:space="0" w:color="auto"/>
                    <w:bottom w:val="none" w:sz="0" w:space="0" w:color="auto"/>
                    <w:right w:val="none" w:sz="0" w:space="0" w:color="auto"/>
                  </w:divBdr>
                </w:div>
                <w:div w:id="1101684118">
                  <w:marLeft w:val="0"/>
                  <w:marRight w:val="0"/>
                  <w:marTop w:val="0"/>
                  <w:marBottom w:val="0"/>
                  <w:divBdr>
                    <w:top w:val="none" w:sz="0" w:space="0" w:color="auto"/>
                    <w:left w:val="none" w:sz="0" w:space="0" w:color="auto"/>
                    <w:bottom w:val="none" w:sz="0" w:space="0" w:color="auto"/>
                    <w:right w:val="none" w:sz="0" w:space="0" w:color="auto"/>
                  </w:divBdr>
                </w:div>
              </w:divsChild>
            </w:div>
            <w:div w:id="1101684111">
              <w:marLeft w:val="0"/>
              <w:marRight w:val="0"/>
              <w:marTop w:val="0"/>
              <w:marBottom w:val="0"/>
              <w:divBdr>
                <w:top w:val="none" w:sz="0" w:space="0" w:color="auto"/>
                <w:left w:val="none" w:sz="0" w:space="0" w:color="auto"/>
                <w:bottom w:val="none" w:sz="0" w:space="0" w:color="auto"/>
                <w:right w:val="none" w:sz="0" w:space="0" w:color="auto"/>
              </w:divBdr>
              <w:divsChild>
                <w:div w:id="1101684094">
                  <w:marLeft w:val="0"/>
                  <w:marRight w:val="0"/>
                  <w:marTop w:val="0"/>
                  <w:marBottom w:val="0"/>
                  <w:divBdr>
                    <w:top w:val="none" w:sz="0" w:space="0" w:color="auto"/>
                    <w:left w:val="none" w:sz="0" w:space="0" w:color="auto"/>
                    <w:bottom w:val="none" w:sz="0" w:space="0" w:color="auto"/>
                    <w:right w:val="none" w:sz="0" w:space="0" w:color="auto"/>
                  </w:divBdr>
                </w:div>
                <w:div w:id="1101684098">
                  <w:marLeft w:val="0"/>
                  <w:marRight w:val="0"/>
                  <w:marTop w:val="0"/>
                  <w:marBottom w:val="0"/>
                  <w:divBdr>
                    <w:top w:val="none" w:sz="0" w:space="0" w:color="auto"/>
                    <w:left w:val="none" w:sz="0" w:space="0" w:color="auto"/>
                    <w:bottom w:val="none" w:sz="0" w:space="0" w:color="auto"/>
                    <w:right w:val="none" w:sz="0" w:space="0" w:color="auto"/>
                  </w:divBdr>
                </w:div>
              </w:divsChild>
            </w:div>
            <w:div w:id="1101684122">
              <w:marLeft w:val="0"/>
              <w:marRight w:val="0"/>
              <w:marTop w:val="0"/>
              <w:marBottom w:val="0"/>
              <w:divBdr>
                <w:top w:val="none" w:sz="0" w:space="0" w:color="auto"/>
                <w:left w:val="none" w:sz="0" w:space="0" w:color="auto"/>
                <w:bottom w:val="none" w:sz="0" w:space="0" w:color="auto"/>
                <w:right w:val="none" w:sz="0" w:space="0" w:color="auto"/>
              </w:divBdr>
              <w:divsChild>
                <w:div w:id="1101684091">
                  <w:marLeft w:val="0"/>
                  <w:marRight w:val="0"/>
                  <w:marTop w:val="0"/>
                  <w:marBottom w:val="0"/>
                  <w:divBdr>
                    <w:top w:val="none" w:sz="0" w:space="0" w:color="auto"/>
                    <w:left w:val="none" w:sz="0" w:space="0" w:color="auto"/>
                    <w:bottom w:val="none" w:sz="0" w:space="0" w:color="auto"/>
                    <w:right w:val="none" w:sz="0" w:space="0" w:color="auto"/>
                  </w:divBdr>
                </w:div>
                <w:div w:id="1101684092">
                  <w:marLeft w:val="0"/>
                  <w:marRight w:val="0"/>
                  <w:marTop w:val="0"/>
                  <w:marBottom w:val="0"/>
                  <w:divBdr>
                    <w:top w:val="none" w:sz="0" w:space="0" w:color="auto"/>
                    <w:left w:val="none" w:sz="0" w:space="0" w:color="auto"/>
                    <w:bottom w:val="none" w:sz="0" w:space="0" w:color="auto"/>
                    <w:right w:val="none" w:sz="0" w:space="0" w:color="auto"/>
                  </w:divBdr>
                </w:div>
                <w:div w:id="1101684106">
                  <w:marLeft w:val="0"/>
                  <w:marRight w:val="0"/>
                  <w:marTop w:val="0"/>
                  <w:marBottom w:val="0"/>
                  <w:divBdr>
                    <w:top w:val="none" w:sz="0" w:space="0" w:color="auto"/>
                    <w:left w:val="none" w:sz="0" w:space="0" w:color="auto"/>
                    <w:bottom w:val="none" w:sz="0" w:space="0" w:color="auto"/>
                    <w:right w:val="none" w:sz="0" w:space="0" w:color="auto"/>
                  </w:divBdr>
                </w:div>
                <w:div w:id="1101684113">
                  <w:marLeft w:val="0"/>
                  <w:marRight w:val="0"/>
                  <w:marTop w:val="0"/>
                  <w:marBottom w:val="0"/>
                  <w:divBdr>
                    <w:top w:val="none" w:sz="0" w:space="0" w:color="auto"/>
                    <w:left w:val="none" w:sz="0" w:space="0" w:color="auto"/>
                    <w:bottom w:val="none" w:sz="0" w:space="0" w:color="auto"/>
                    <w:right w:val="none" w:sz="0" w:space="0" w:color="auto"/>
                  </w:divBdr>
                </w:div>
                <w:div w:id="1101684120">
                  <w:marLeft w:val="0"/>
                  <w:marRight w:val="0"/>
                  <w:marTop w:val="0"/>
                  <w:marBottom w:val="0"/>
                  <w:divBdr>
                    <w:top w:val="none" w:sz="0" w:space="0" w:color="auto"/>
                    <w:left w:val="none" w:sz="0" w:space="0" w:color="auto"/>
                    <w:bottom w:val="none" w:sz="0" w:space="0" w:color="auto"/>
                    <w:right w:val="none" w:sz="0" w:space="0" w:color="auto"/>
                  </w:divBdr>
                </w:div>
              </w:divsChild>
            </w:div>
            <w:div w:id="1101684128">
              <w:marLeft w:val="0"/>
              <w:marRight w:val="0"/>
              <w:marTop w:val="0"/>
              <w:marBottom w:val="0"/>
              <w:divBdr>
                <w:top w:val="none" w:sz="0" w:space="0" w:color="auto"/>
                <w:left w:val="none" w:sz="0" w:space="0" w:color="auto"/>
                <w:bottom w:val="none" w:sz="0" w:space="0" w:color="auto"/>
                <w:right w:val="none" w:sz="0" w:space="0" w:color="auto"/>
              </w:divBdr>
              <w:divsChild>
                <w:div w:id="1101684114">
                  <w:marLeft w:val="0"/>
                  <w:marRight w:val="0"/>
                  <w:marTop w:val="0"/>
                  <w:marBottom w:val="0"/>
                  <w:divBdr>
                    <w:top w:val="none" w:sz="0" w:space="0" w:color="auto"/>
                    <w:left w:val="none" w:sz="0" w:space="0" w:color="auto"/>
                    <w:bottom w:val="none" w:sz="0" w:space="0" w:color="auto"/>
                    <w:right w:val="none" w:sz="0" w:space="0" w:color="auto"/>
                  </w:divBdr>
                </w:div>
                <w:div w:id="11016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101">
      <w:marLeft w:val="0"/>
      <w:marRight w:val="0"/>
      <w:marTop w:val="0"/>
      <w:marBottom w:val="0"/>
      <w:divBdr>
        <w:top w:val="none" w:sz="0" w:space="0" w:color="auto"/>
        <w:left w:val="none" w:sz="0" w:space="0" w:color="auto"/>
        <w:bottom w:val="none" w:sz="0" w:space="0" w:color="auto"/>
        <w:right w:val="none" w:sz="0" w:space="0" w:color="auto"/>
      </w:divBdr>
      <w:divsChild>
        <w:div w:id="1101684096">
          <w:marLeft w:val="0"/>
          <w:marRight w:val="0"/>
          <w:marTop w:val="0"/>
          <w:marBottom w:val="0"/>
          <w:divBdr>
            <w:top w:val="none" w:sz="0" w:space="0" w:color="auto"/>
            <w:left w:val="none" w:sz="0" w:space="0" w:color="auto"/>
            <w:bottom w:val="none" w:sz="0" w:space="0" w:color="auto"/>
            <w:right w:val="none" w:sz="0" w:space="0" w:color="auto"/>
          </w:divBdr>
        </w:div>
        <w:div w:id="1101684100">
          <w:marLeft w:val="0"/>
          <w:marRight w:val="0"/>
          <w:marTop w:val="0"/>
          <w:marBottom w:val="0"/>
          <w:divBdr>
            <w:top w:val="none" w:sz="0" w:space="0" w:color="auto"/>
            <w:left w:val="none" w:sz="0" w:space="0" w:color="auto"/>
            <w:bottom w:val="none" w:sz="0" w:space="0" w:color="auto"/>
            <w:right w:val="none" w:sz="0" w:space="0" w:color="auto"/>
          </w:divBdr>
        </w:div>
        <w:div w:id="1101684103">
          <w:marLeft w:val="0"/>
          <w:marRight w:val="0"/>
          <w:marTop w:val="0"/>
          <w:marBottom w:val="0"/>
          <w:divBdr>
            <w:top w:val="none" w:sz="0" w:space="0" w:color="auto"/>
            <w:left w:val="none" w:sz="0" w:space="0" w:color="auto"/>
            <w:bottom w:val="none" w:sz="0" w:space="0" w:color="auto"/>
            <w:right w:val="none" w:sz="0" w:space="0" w:color="auto"/>
          </w:divBdr>
          <w:divsChild>
            <w:div w:id="1101684124">
              <w:marLeft w:val="0"/>
              <w:marRight w:val="0"/>
              <w:marTop w:val="0"/>
              <w:marBottom w:val="0"/>
              <w:divBdr>
                <w:top w:val="none" w:sz="0" w:space="0" w:color="auto"/>
                <w:left w:val="none" w:sz="0" w:space="0" w:color="auto"/>
                <w:bottom w:val="none" w:sz="0" w:space="0" w:color="auto"/>
                <w:right w:val="none" w:sz="0" w:space="0" w:color="auto"/>
              </w:divBdr>
              <w:divsChild>
                <w:div w:id="1101684110">
                  <w:marLeft w:val="0"/>
                  <w:marRight w:val="0"/>
                  <w:marTop w:val="0"/>
                  <w:marBottom w:val="0"/>
                  <w:divBdr>
                    <w:top w:val="none" w:sz="0" w:space="0" w:color="auto"/>
                    <w:left w:val="none" w:sz="0" w:space="0" w:color="auto"/>
                    <w:bottom w:val="none" w:sz="0" w:space="0" w:color="auto"/>
                    <w:right w:val="none" w:sz="0" w:space="0" w:color="auto"/>
                  </w:divBdr>
                  <w:divsChild>
                    <w:div w:id="1101684116">
                      <w:marLeft w:val="0"/>
                      <w:marRight w:val="0"/>
                      <w:marTop w:val="0"/>
                      <w:marBottom w:val="0"/>
                      <w:divBdr>
                        <w:top w:val="none" w:sz="0" w:space="0" w:color="auto"/>
                        <w:left w:val="none" w:sz="0" w:space="0" w:color="auto"/>
                        <w:bottom w:val="none" w:sz="0" w:space="0" w:color="auto"/>
                        <w:right w:val="none" w:sz="0" w:space="0" w:color="auto"/>
                      </w:divBdr>
                    </w:div>
                  </w:divsChild>
                </w:div>
                <w:div w:id="11016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104">
      <w:marLeft w:val="0"/>
      <w:marRight w:val="0"/>
      <w:marTop w:val="0"/>
      <w:marBottom w:val="0"/>
      <w:divBdr>
        <w:top w:val="none" w:sz="0" w:space="0" w:color="auto"/>
        <w:left w:val="none" w:sz="0" w:space="0" w:color="auto"/>
        <w:bottom w:val="none" w:sz="0" w:space="0" w:color="auto"/>
        <w:right w:val="none" w:sz="0" w:space="0" w:color="auto"/>
      </w:divBdr>
    </w:div>
    <w:div w:id="1101684108">
      <w:marLeft w:val="0"/>
      <w:marRight w:val="0"/>
      <w:marTop w:val="0"/>
      <w:marBottom w:val="0"/>
      <w:divBdr>
        <w:top w:val="none" w:sz="0" w:space="0" w:color="auto"/>
        <w:left w:val="none" w:sz="0" w:space="0" w:color="auto"/>
        <w:bottom w:val="none" w:sz="0" w:space="0" w:color="auto"/>
        <w:right w:val="none" w:sz="0" w:space="0" w:color="auto"/>
      </w:divBdr>
    </w:div>
    <w:div w:id="1101684115">
      <w:marLeft w:val="0"/>
      <w:marRight w:val="0"/>
      <w:marTop w:val="0"/>
      <w:marBottom w:val="0"/>
      <w:divBdr>
        <w:top w:val="none" w:sz="0" w:space="0" w:color="auto"/>
        <w:left w:val="none" w:sz="0" w:space="0" w:color="auto"/>
        <w:bottom w:val="none" w:sz="0" w:space="0" w:color="auto"/>
        <w:right w:val="none" w:sz="0" w:space="0" w:color="auto"/>
      </w:divBdr>
    </w:div>
    <w:div w:id="1101684121">
      <w:marLeft w:val="0"/>
      <w:marRight w:val="0"/>
      <w:marTop w:val="0"/>
      <w:marBottom w:val="0"/>
      <w:divBdr>
        <w:top w:val="none" w:sz="0" w:space="0" w:color="auto"/>
        <w:left w:val="none" w:sz="0" w:space="0" w:color="auto"/>
        <w:bottom w:val="none" w:sz="0" w:space="0" w:color="auto"/>
        <w:right w:val="none" w:sz="0" w:space="0" w:color="auto"/>
      </w:divBdr>
    </w:div>
    <w:div w:id="1101684123">
      <w:marLeft w:val="0"/>
      <w:marRight w:val="0"/>
      <w:marTop w:val="0"/>
      <w:marBottom w:val="0"/>
      <w:divBdr>
        <w:top w:val="none" w:sz="0" w:space="0" w:color="auto"/>
        <w:left w:val="none" w:sz="0" w:space="0" w:color="auto"/>
        <w:bottom w:val="none" w:sz="0" w:space="0" w:color="auto"/>
        <w:right w:val="none" w:sz="0" w:space="0" w:color="auto"/>
      </w:divBdr>
    </w:div>
    <w:div w:id="1101684125">
      <w:marLeft w:val="0"/>
      <w:marRight w:val="0"/>
      <w:marTop w:val="0"/>
      <w:marBottom w:val="0"/>
      <w:divBdr>
        <w:top w:val="none" w:sz="0" w:space="0" w:color="auto"/>
        <w:left w:val="none" w:sz="0" w:space="0" w:color="auto"/>
        <w:bottom w:val="none" w:sz="0" w:space="0" w:color="auto"/>
        <w:right w:val="none" w:sz="0" w:space="0" w:color="auto"/>
      </w:divBdr>
    </w:div>
    <w:div w:id="1101684126">
      <w:marLeft w:val="0"/>
      <w:marRight w:val="0"/>
      <w:marTop w:val="0"/>
      <w:marBottom w:val="0"/>
      <w:divBdr>
        <w:top w:val="none" w:sz="0" w:space="0" w:color="auto"/>
        <w:left w:val="none" w:sz="0" w:space="0" w:color="auto"/>
        <w:bottom w:val="none" w:sz="0" w:space="0" w:color="auto"/>
        <w:right w:val="none" w:sz="0" w:space="0" w:color="auto"/>
      </w:divBdr>
    </w:div>
    <w:div w:id="1101684127">
      <w:marLeft w:val="0"/>
      <w:marRight w:val="0"/>
      <w:marTop w:val="0"/>
      <w:marBottom w:val="0"/>
      <w:divBdr>
        <w:top w:val="none" w:sz="0" w:space="0" w:color="auto"/>
        <w:left w:val="none" w:sz="0" w:space="0" w:color="auto"/>
        <w:bottom w:val="none" w:sz="0" w:space="0" w:color="auto"/>
        <w:right w:val="none" w:sz="0" w:space="0" w:color="auto"/>
      </w:divBdr>
      <w:divsChild>
        <w:div w:id="1101684093">
          <w:marLeft w:val="0"/>
          <w:marRight w:val="0"/>
          <w:marTop w:val="0"/>
          <w:marBottom w:val="0"/>
          <w:divBdr>
            <w:top w:val="none" w:sz="0" w:space="0" w:color="auto"/>
            <w:left w:val="none" w:sz="0" w:space="0" w:color="auto"/>
            <w:bottom w:val="none" w:sz="0" w:space="0" w:color="auto"/>
            <w:right w:val="none" w:sz="0" w:space="0" w:color="auto"/>
          </w:divBdr>
        </w:div>
      </w:divsChild>
    </w:div>
    <w:div w:id="1101684129">
      <w:marLeft w:val="0"/>
      <w:marRight w:val="0"/>
      <w:marTop w:val="0"/>
      <w:marBottom w:val="0"/>
      <w:divBdr>
        <w:top w:val="none" w:sz="0" w:space="0" w:color="auto"/>
        <w:left w:val="none" w:sz="0" w:space="0" w:color="auto"/>
        <w:bottom w:val="none" w:sz="0" w:space="0" w:color="auto"/>
        <w:right w:val="none" w:sz="0" w:space="0" w:color="auto"/>
      </w:divBdr>
    </w:div>
    <w:div w:id="1122117625">
      <w:bodyDiv w:val="1"/>
      <w:marLeft w:val="0"/>
      <w:marRight w:val="0"/>
      <w:marTop w:val="0"/>
      <w:marBottom w:val="0"/>
      <w:divBdr>
        <w:top w:val="none" w:sz="0" w:space="0" w:color="auto"/>
        <w:left w:val="none" w:sz="0" w:space="0" w:color="auto"/>
        <w:bottom w:val="none" w:sz="0" w:space="0" w:color="auto"/>
        <w:right w:val="none" w:sz="0" w:space="0" w:color="auto"/>
      </w:divBdr>
      <w:divsChild>
        <w:div w:id="139200766">
          <w:marLeft w:val="0"/>
          <w:marRight w:val="0"/>
          <w:marTop w:val="0"/>
          <w:marBottom w:val="0"/>
          <w:divBdr>
            <w:top w:val="none" w:sz="0" w:space="0" w:color="auto"/>
            <w:left w:val="none" w:sz="0" w:space="0" w:color="auto"/>
            <w:bottom w:val="none" w:sz="0" w:space="0" w:color="auto"/>
            <w:right w:val="none" w:sz="0" w:space="0" w:color="auto"/>
          </w:divBdr>
        </w:div>
        <w:div w:id="774442357">
          <w:marLeft w:val="0"/>
          <w:marRight w:val="0"/>
          <w:marTop w:val="0"/>
          <w:marBottom w:val="0"/>
          <w:divBdr>
            <w:top w:val="none" w:sz="0" w:space="0" w:color="auto"/>
            <w:left w:val="none" w:sz="0" w:space="0" w:color="auto"/>
            <w:bottom w:val="none" w:sz="0" w:space="0" w:color="auto"/>
            <w:right w:val="none" w:sz="0" w:space="0" w:color="auto"/>
          </w:divBdr>
          <w:divsChild>
            <w:div w:id="2028560873">
              <w:marLeft w:val="0"/>
              <w:marRight w:val="0"/>
              <w:marTop w:val="0"/>
              <w:marBottom w:val="0"/>
              <w:divBdr>
                <w:top w:val="none" w:sz="0" w:space="0" w:color="auto"/>
                <w:left w:val="none" w:sz="0" w:space="0" w:color="auto"/>
                <w:bottom w:val="none" w:sz="0" w:space="0" w:color="auto"/>
                <w:right w:val="none" w:sz="0" w:space="0" w:color="auto"/>
              </w:divBdr>
            </w:div>
            <w:div w:id="11827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8209">
      <w:bodyDiv w:val="1"/>
      <w:marLeft w:val="0"/>
      <w:marRight w:val="0"/>
      <w:marTop w:val="0"/>
      <w:marBottom w:val="0"/>
      <w:divBdr>
        <w:top w:val="none" w:sz="0" w:space="0" w:color="auto"/>
        <w:left w:val="none" w:sz="0" w:space="0" w:color="auto"/>
        <w:bottom w:val="none" w:sz="0" w:space="0" w:color="auto"/>
        <w:right w:val="none" w:sz="0" w:space="0" w:color="auto"/>
      </w:divBdr>
    </w:div>
    <w:div w:id="1385444532">
      <w:bodyDiv w:val="1"/>
      <w:marLeft w:val="0"/>
      <w:marRight w:val="0"/>
      <w:marTop w:val="0"/>
      <w:marBottom w:val="0"/>
      <w:divBdr>
        <w:top w:val="none" w:sz="0" w:space="0" w:color="auto"/>
        <w:left w:val="none" w:sz="0" w:space="0" w:color="auto"/>
        <w:bottom w:val="none" w:sz="0" w:space="0" w:color="auto"/>
        <w:right w:val="none" w:sz="0" w:space="0" w:color="auto"/>
      </w:divBdr>
    </w:div>
    <w:div w:id="1468664824">
      <w:bodyDiv w:val="1"/>
      <w:marLeft w:val="0"/>
      <w:marRight w:val="0"/>
      <w:marTop w:val="0"/>
      <w:marBottom w:val="0"/>
      <w:divBdr>
        <w:top w:val="none" w:sz="0" w:space="0" w:color="auto"/>
        <w:left w:val="none" w:sz="0" w:space="0" w:color="auto"/>
        <w:bottom w:val="none" w:sz="0" w:space="0" w:color="auto"/>
        <w:right w:val="none" w:sz="0" w:space="0" w:color="auto"/>
      </w:divBdr>
    </w:div>
    <w:div w:id="1492451844">
      <w:bodyDiv w:val="1"/>
      <w:marLeft w:val="0"/>
      <w:marRight w:val="0"/>
      <w:marTop w:val="0"/>
      <w:marBottom w:val="0"/>
      <w:divBdr>
        <w:top w:val="none" w:sz="0" w:space="0" w:color="auto"/>
        <w:left w:val="none" w:sz="0" w:space="0" w:color="auto"/>
        <w:bottom w:val="none" w:sz="0" w:space="0" w:color="auto"/>
        <w:right w:val="none" w:sz="0" w:space="0" w:color="auto"/>
      </w:divBdr>
    </w:div>
    <w:div w:id="1618103571">
      <w:bodyDiv w:val="1"/>
      <w:marLeft w:val="0"/>
      <w:marRight w:val="0"/>
      <w:marTop w:val="0"/>
      <w:marBottom w:val="0"/>
      <w:divBdr>
        <w:top w:val="none" w:sz="0" w:space="0" w:color="auto"/>
        <w:left w:val="none" w:sz="0" w:space="0" w:color="auto"/>
        <w:bottom w:val="none" w:sz="0" w:space="0" w:color="auto"/>
        <w:right w:val="none" w:sz="0" w:space="0" w:color="auto"/>
      </w:divBdr>
    </w:div>
    <w:div w:id="1651597589">
      <w:bodyDiv w:val="1"/>
      <w:marLeft w:val="0"/>
      <w:marRight w:val="0"/>
      <w:marTop w:val="0"/>
      <w:marBottom w:val="0"/>
      <w:divBdr>
        <w:top w:val="none" w:sz="0" w:space="0" w:color="auto"/>
        <w:left w:val="none" w:sz="0" w:space="0" w:color="auto"/>
        <w:bottom w:val="none" w:sz="0" w:space="0" w:color="auto"/>
        <w:right w:val="none" w:sz="0" w:space="0" w:color="auto"/>
      </w:divBdr>
      <w:divsChild>
        <w:div w:id="445202636">
          <w:marLeft w:val="0"/>
          <w:marRight w:val="0"/>
          <w:marTop w:val="0"/>
          <w:marBottom w:val="0"/>
          <w:divBdr>
            <w:top w:val="none" w:sz="0" w:space="0" w:color="auto"/>
            <w:left w:val="none" w:sz="0" w:space="0" w:color="auto"/>
            <w:bottom w:val="none" w:sz="0" w:space="0" w:color="auto"/>
            <w:right w:val="none" w:sz="0" w:space="0" w:color="auto"/>
          </w:divBdr>
        </w:div>
      </w:divsChild>
    </w:div>
    <w:div w:id="1943803529">
      <w:bodyDiv w:val="1"/>
      <w:marLeft w:val="0"/>
      <w:marRight w:val="0"/>
      <w:marTop w:val="0"/>
      <w:marBottom w:val="0"/>
      <w:divBdr>
        <w:top w:val="none" w:sz="0" w:space="0" w:color="auto"/>
        <w:left w:val="none" w:sz="0" w:space="0" w:color="auto"/>
        <w:bottom w:val="none" w:sz="0" w:space="0" w:color="auto"/>
        <w:right w:val="none" w:sz="0" w:space="0" w:color="auto"/>
      </w:divBdr>
      <w:divsChild>
        <w:div w:id="303049244">
          <w:marLeft w:val="0"/>
          <w:marRight w:val="0"/>
          <w:marTop w:val="0"/>
          <w:marBottom w:val="0"/>
          <w:divBdr>
            <w:top w:val="none" w:sz="0" w:space="0" w:color="auto"/>
            <w:left w:val="none" w:sz="0" w:space="0" w:color="auto"/>
            <w:bottom w:val="none" w:sz="0" w:space="0" w:color="auto"/>
            <w:right w:val="none" w:sz="0" w:space="0" w:color="auto"/>
          </w:divBdr>
        </w:div>
        <w:div w:id="1387221723">
          <w:marLeft w:val="0"/>
          <w:marRight w:val="0"/>
          <w:marTop w:val="0"/>
          <w:marBottom w:val="0"/>
          <w:divBdr>
            <w:top w:val="none" w:sz="0" w:space="0" w:color="auto"/>
            <w:left w:val="none" w:sz="0" w:space="0" w:color="auto"/>
            <w:bottom w:val="none" w:sz="0" w:space="0" w:color="auto"/>
            <w:right w:val="none" w:sz="0" w:space="0" w:color="auto"/>
          </w:divBdr>
        </w:div>
        <w:div w:id="1695573622">
          <w:marLeft w:val="0"/>
          <w:marRight w:val="0"/>
          <w:marTop w:val="0"/>
          <w:marBottom w:val="0"/>
          <w:divBdr>
            <w:top w:val="none" w:sz="0" w:space="0" w:color="auto"/>
            <w:left w:val="none" w:sz="0" w:space="0" w:color="auto"/>
            <w:bottom w:val="none" w:sz="0" w:space="0" w:color="auto"/>
            <w:right w:val="none" w:sz="0" w:space="0" w:color="auto"/>
          </w:divBdr>
        </w:div>
      </w:divsChild>
    </w:div>
    <w:div w:id="1984193261">
      <w:bodyDiv w:val="1"/>
      <w:marLeft w:val="0"/>
      <w:marRight w:val="0"/>
      <w:marTop w:val="0"/>
      <w:marBottom w:val="0"/>
      <w:divBdr>
        <w:top w:val="none" w:sz="0" w:space="0" w:color="auto"/>
        <w:left w:val="none" w:sz="0" w:space="0" w:color="auto"/>
        <w:bottom w:val="none" w:sz="0" w:space="0" w:color="auto"/>
        <w:right w:val="none" w:sz="0" w:space="0" w:color="auto"/>
      </w:divBdr>
    </w:div>
    <w:div w:id="2037777306">
      <w:bodyDiv w:val="1"/>
      <w:marLeft w:val="0"/>
      <w:marRight w:val="0"/>
      <w:marTop w:val="0"/>
      <w:marBottom w:val="0"/>
      <w:divBdr>
        <w:top w:val="none" w:sz="0" w:space="0" w:color="auto"/>
        <w:left w:val="none" w:sz="0" w:space="0" w:color="auto"/>
        <w:bottom w:val="none" w:sz="0" w:space="0" w:color="auto"/>
        <w:right w:val="none" w:sz="0" w:space="0" w:color="auto"/>
      </w:divBdr>
    </w:div>
    <w:div w:id="2103257427">
      <w:bodyDiv w:val="1"/>
      <w:marLeft w:val="0"/>
      <w:marRight w:val="0"/>
      <w:marTop w:val="0"/>
      <w:marBottom w:val="0"/>
      <w:divBdr>
        <w:top w:val="none" w:sz="0" w:space="0" w:color="auto"/>
        <w:left w:val="none" w:sz="0" w:space="0" w:color="auto"/>
        <w:bottom w:val="none" w:sz="0" w:space="0" w:color="auto"/>
        <w:right w:val="none" w:sz="0" w:space="0" w:color="auto"/>
      </w:divBdr>
      <w:divsChild>
        <w:div w:id="211813840">
          <w:marLeft w:val="0"/>
          <w:marRight w:val="0"/>
          <w:marTop w:val="0"/>
          <w:marBottom w:val="0"/>
          <w:divBdr>
            <w:top w:val="none" w:sz="0" w:space="0" w:color="auto"/>
            <w:left w:val="none" w:sz="0" w:space="0" w:color="auto"/>
            <w:bottom w:val="none" w:sz="0" w:space="0" w:color="auto"/>
            <w:right w:val="none" w:sz="0" w:space="0" w:color="auto"/>
          </w:divBdr>
        </w:div>
        <w:div w:id="2020572287">
          <w:marLeft w:val="0"/>
          <w:marRight w:val="0"/>
          <w:marTop w:val="0"/>
          <w:marBottom w:val="0"/>
          <w:divBdr>
            <w:top w:val="none" w:sz="0" w:space="0" w:color="auto"/>
            <w:left w:val="none" w:sz="0" w:space="0" w:color="auto"/>
            <w:bottom w:val="none" w:sz="0" w:space="0" w:color="auto"/>
            <w:right w:val="none" w:sz="0" w:space="0" w:color="auto"/>
          </w:divBdr>
        </w:div>
        <w:div w:id="830147247">
          <w:marLeft w:val="0"/>
          <w:marRight w:val="0"/>
          <w:marTop w:val="0"/>
          <w:marBottom w:val="0"/>
          <w:divBdr>
            <w:top w:val="none" w:sz="0" w:space="0" w:color="auto"/>
            <w:left w:val="none" w:sz="0" w:space="0" w:color="auto"/>
            <w:bottom w:val="none" w:sz="0" w:space="0" w:color="auto"/>
            <w:right w:val="none" w:sz="0" w:space="0" w:color="auto"/>
          </w:divBdr>
        </w:div>
        <w:div w:id="995691888">
          <w:marLeft w:val="0"/>
          <w:marRight w:val="0"/>
          <w:marTop w:val="0"/>
          <w:marBottom w:val="0"/>
          <w:divBdr>
            <w:top w:val="none" w:sz="0" w:space="0" w:color="auto"/>
            <w:left w:val="none" w:sz="0" w:space="0" w:color="auto"/>
            <w:bottom w:val="none" w:sz="0" w:space="0" w:color="auto"/>
            <w:right w:val="none" w:sz="0" w:space="0" w:color="auto"/>
          </w:divBdr>
          <w:divsChild>
            <w:div w:id="14216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228">
      <w:bodyDiv w:val="1"/>
      <w:marLeft w:val="0"/>
      <w:marRight w:val="0"/>
      <w:marTop w:val="0"/>
      <w:marBottom w:val="0"/>
      <w:divBdr>
        <w:top w:val="none" w:sz="0" w:space="0" w:color="auto"/>
        <w:left w:val="none" w:sz="0" w:space="0" w:color="auto"/>
        <w:bottom w:val="none" w:sz="0" w:space="0" w:color="auto"/>
        <w:right w:val="none" w:sz="0" w:space="0" w:color="auto"/>
      </w:divBdr>
    </w:div>
    <w:div w:id="2141919331">
      <w:bodyDiv w:val="1"/>
      <w:marLeft w:val="0"/>
      <w:marRight w:val="0"/>
      <w:marTop w:val="0"/>
      <w:marBottom w:val="0"/>
      <w:divBdr>
        <w:top w:val="none" w:sz="0" w:space="0" w:color="auto"/>
        <w:left w:val="none" w:sz="0" w:space="0" w:color="auto"/>
        <w:bottom w:val="none" w:sz="0" w:space="0" w:color="auto"/>
        <w:right w:val="none" w:sz="0" w:space="0" w:color="auto"/>
      </w:divBdr>
      <w:divsChild>
        <w:div w:id="1303003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xample.com/v1/Journalists.svc/MARY+ESCH"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ttp://hosted2.ap.org/PASCR/d30f3f32e9d849979111e891380b64db/Article_2011-07-1"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1.png"/><Relationship Id="rId28" Type="http://schemas.openxmlformats.org/officeDocument/2006/relationships/footer" Target="footer8.xml"/><Relationship Id="rId10" Type="http://schemas.openxmlformats.org/officeDocument/2006/relationships/hyperlink" Target="mailto:r.jayanti@csuohio.edu" TargetMode="External"/><Relationship Id="rId19" Type="http://schemas.openxmlformats.org/officeDocument/2006/relationships/hyperlink" Target="http://www.ama-assn.org/amednews/2006/05/22/prl10522.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agdip.singh@case.edu" TargetMode="External"/><Relationship Id="rId14" Type="http://schemas.openxmlformats.org/officeDocument/2006/relationships/hyperlink" Target="http://www.gmc-uk.org/guidance/good_medical_practice/index.asp" TargetMode="External"/><Relationship Id="rId22" Type="http://schemas.openxmlformats.org/officeDocument/2006/relationships/hyperlink" Target="http://dida.library.ucsf.edu" TargetMode="External"/><Relationship Id="rId27" Type="http://schemas.openxmlformats.org/officeDocument/2006/relationships/footer" Target="foot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ntractpharma.com/articles/2007/07/2007-top-20-pharmaceutical-companies-report" TargetMode="External"/><Relationship Id="rId1" Type="http://schemas.openxmlformats.org/officeDocument/2006/relationships/hyperlink" Target="http://dida.library.uc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66287-9629-47FE-A86E-0AFCD4F1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16218</Words>
  <Characters>92445</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The prescription drug market is unlike any other commodity market</vt:lpstr>
    </vt:vector>
  </TitlesOfParts>
  <Company>Case Western Reserve University</Company>
  <LinksUpToDate>false</LinksUpToDate>
  <CharactersWithSpaces>108447</CharactersWithSpaces>
  <SharedDoc>false</SharedDoc>
  <HLinks>
    <vt:vector size="30" baseType="variant">
      <vt:variant>
        <vt:i4>5701723</vt:i4>
      </vt:variant>
      <vt:variant>
        <vt:i4>6</vt:i4>
      </vt:variant>
      <vt:variant>
        <vt:i4>0</vt:i4>
      </vt:variant>
      <vt:variant>
        <vt:i4>5</vt:i4>
      </vt:variant>
      <vt:variant>
        <vt:lpwstr>http://dida.library.ucsf.edu/</vt:lpwstr>
      </vt:variant>
      <vt:variant>
        <vt:lpwstr/>
      </vt:variant>
      <vt:variant>
        <vt:i4>4849777</vt:i4>
      </vt:variant>
      <vt:variant>
        <vt:i4>3</vt:i4>
      </vt:variant>
      <vt:variant>
        <vt:i4>0</vt:i4>
      </vt:variant>
      <vt:variant>
        <vt:i4>5</vt:i4>
      </vt:variant>
      <vt:variant>
        <vt:lpwstr>C:\Documents and Settings\Administrator.B-011OP0G0MCYIO\Local Settings\Temp\drugpromo.info</vt:lpwstr>
      </vt:variant>
      <vt:variant>
        <vt:lpwstr/>
      </vt:variant>
      <vt:variant>
        <vt:i4>3080226</vt:i4>
      </vt:variant>
      <vt:variant>
        <vt:i4>0</vt:i4>
      </vt:variant>
      <vt:variant>
        <vt:i4>0</vt:i4>
      </vt:variant>
      <vt:variant>
        <vt:i4>5</vt:i4>
      </vt:variant>
      <vt:variant>
        <vt:lpwstr>http://www.gmc-uk.org/guidance/good_medical_practice/index.asp</vt:lpwstr>
      </vt:variant>
      <vt:variant>
        <vt:lpwstr/>
      </vt:variant>
      <vt:variant>
        <vt:i4>7209075</vt:i4>
      </vt:variant>
      <vt:variant>
        <vt:i4>3</vt:i4>
      </vt:variant>
      <vt:variant>
        <vt:i4>0</vt:i4>
      </vt:variant>
      <vt:variant>
        <vt:i4>5</vt:i4>
      </vt:variant>
      <vt:variant>
        <vt:lpwstr>http://www.contractpharma.com/articles/2007/07/2007-top-20-pharmaceutical-companies-report</vt:lpwstr>
      </vt:variant>
      <vt:variant>
        <vt:lpwstr/>
      </vt:variant>
      <vt:variant>
        <vt:i4>5701723</vt:i4>
      </vt:variant>
      <vt:variant>
        <vt:i4>0</vt:i4>
      </vt:variant>
      <vt:variant>
        <vt:i4>0</vt:i4>
      </vt:variant>
      <vt:variant>
        <vt:i4>5</vt:i4>
      </vt:variant>
      <vt:variant>
        <vt:lpwstr>http://dida.library.ucsf.edu/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prescription drug market is unlike any other commodity market</dc:title>
  <dc:creator>elizabeth</dc:creator>
  <cp:lastModifiedBy>Jagdip Singh</cp:lastModifiedBy>
  <cp:revision>2</cp:revision>
  <cp:lastPrinted>2011-11-21T17:14:00Z</cp:lastPrinted>
  <dcterms:created xsi:type="dcterms:W3CDTF">2012-09-27T15:20:00Z</dcterms:created>
  <dcterms:modified xsi:type="dcterms:W3CDTF">2012-09-27T15:20:00Z</dcterms:modified>
</cp:coreProperties>
</file>